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59" w:lineRule="auto"/>
        <w:ind w:left="10" w:hanging="10"/>
        <w:jc w:val="center"/>
        <w:rPr>
          <w:rFonts w:ascii="Tahoma" w:hAnsi="Tahoma" w:cs="Tahoma"/>
          <w:b/>
          <w:sz w:val="24"/>
        </w:rPr>
      </w:pPr>
    </w:p>
    <w:p>
      <w:pPr>
        <w:spacing w:after="0" w:line="259" w:lineRule="auto"/>
        <w:ind w:left="10" w:hanging="10"/>
        <w:rPr>
          <w:rFonts w:hint="default" w:ascii="Tahoma" w:hAnsi="Tahoma" w:cs="Tahoma"/>
          <w:lang w:val="it-IT"/>
        </w:rPr>
      </w:pPr>
      <w:r>
        <w:rPr>
          <w:rFonts w:ascii="Tahoma" w:hAnsi="Tahoma" w:cs="Tahoma"/>
          <w:b/>
          <w:sz w:val="24"/>
        </w:rPr>
        <w:t xml:space="preserve">REGOLAMENTO PER LA DESTINAZIONE DELLE RISORSE EX ART. 208 D. LGS. N. 285/1992 AL FONDO DI PREVIDENZA COMPLEMENTARE PERSEO-SIRIO PER IL PERSONALE DEL SERVIZIO DI POLIZIA LOCALE DEL COMUNE DI </w:t>
      </w:r>
      <w:r>
        <w:rPr>
          <w:rFonts w:hint="default" w:ascii="Tahoma" w:hAnsi="Tahoma" w:cs="Tahoma"/>
          <w:b/>
          <w:sz w:val="24"/>
          <w:lang w:val="it-IT"/>
        </w:rPr>
        <w:t>INDUNO OLONA</w:t>
      </w:r>
    </w:p>
    <w:p>
      <w:pPr>
        <w:spacing w:after="0" w:line="259" w:lineRule="auto"/>
        <w:ind w:left="0" w:firstLine="0"/>
        <w:jc w:val="left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 </w:t>
      </w:r>
    </w:p>
    <w:p>
      <w:pPr>
        <w:pStyle w:val="2"/>
        <w:ind w:left="-5"/>
        <w:rPr>
          <w:rFonts w:ascii="Tahoma" w:hAnsi="Tahoma" w:cs="Tahoma"/>
        </w:rPr>
      </w:pPr>
      <w:r>
        <w:rPr>
          <w:rFonts w:ascii="Tahoma" w:hAnsi="Tahoma" w:cs="Tahoma"/>
        </w:rPr>
        <w:t>Art. 1 – AMBITO DI APPLICAZIONE</w:t>
      </w:r>
      <w:r>
        <w:rPr>
          <w:rFonts w:ascii="Tahoma" w:hAnsi="Tahoma" w:cs="Tahoma"/>
          <w:b w:val="0"/>
        </w:rPr>
        <w:t xml:space="preserve"> </w:t>
      </w:r>
    </w:p>
    <w:p>
      <w:pPr>
        <w:spacing w:after="0" w:line="276" w:lineRule="auto"/>
        <w:ind w:left="0" w:firstLine="0"/>
        <w:rPr>
          <w:rFonts w:ascii="Tahoma" w:hAnsi="Tahoma" w:cs="Tahoma"/>
        </w:rPr>
      </w:pPr>
      <w:r>
        <w:rPr>
          <w:rFonts w:ascii="Tahoma" w:hAnsi="Tahoma" w:cs="Tahoma"/>
        </w:rPr>
        <w:t>L’art. 208, comma 4°, del Decreto Legislativo n. 285/92 (Nuovo Codice della Strada) e successive modifiche ed integrazioni, prevede la possibilità per gli Enti locali di devolvere parte dei proventi derivanti da sanzioni amministrative pecuniarie</w:t>
      </w:r>
      <w:r>
        <w:rPr>
          <w:rFonts w:hint="default" w:ascii="Tahoma" w:hAnsi="Tahoma" w:cs="Tahoma"/>
          <w:lang w:val="it-IT"/>
        </w:rPr>
        <w:t xml:space="preserve"> previste dal Codice della Strada</w:t>
      </w:r>
      <w:r>
        <w:rPr>
          <w:rFonts w:ascii="Tahoma" w:hAnsi="Tahoma" w:cs="Tahoma"/>
        </w:rPr>
        <w:t xml:space="preserve"> a finalità di previdenza per gli appartenenti ai Co</w:t>
      </w:r>
      <w:r>
        <w:rPr>
          <w:rFonts w:hint="default" w:ascii="Tahoma" w:hAnsi="Tahoma" w:cs="Tahoma"/>
          <w:lang w:val="it-IT"/>
        </w:rPr>
        <w:t>mandi</w:t>
      </w:r>
      <w:r>
        <w:rPr>
          <w:rFonts w:ascii="Tahoma" w:hAnsi="Tahoma" w:cs="Tahoma"/>
        </w:rPr>
        <w:t xml:space="preserve"> di Polizia Locale, a tempo indeterminato, con profilo di vigilanza. Il presente regolamento disciplina le modalità attuative di dette forme di previdenza complementare. </w:t>
      </w:r>
    </w:p>
    <w:p>
      <w:pPr>
        <w:spacing w:after="0" w:line="259" w:lineRule="auto"/>
        <w:ind w:left="360" w:firstLine="0"/>
        <w:jc w:val="left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</w:p>
    <w:p>
      <w:pPr>
        <w:pStyle w:val="2"/>
        <w:ind w:left="-5"/>
        <w:rPr>
          <w:rFonts w:ascii="Tahoma" w:hAnsi="Tahoma" w:cs="Tahoma"/>
        </w:rPr>
      </w:pPr>
      <w:r>
        <w:rPr>
          <w:rFonts w:ascii="Tahoma" w:hAnsi="Tahoma" w:cs="Tahoma"/>
        </w:rPr>
        <w:t>Art. 2 – DESTINATARI</w:t>
      </w:r>
      <w:r>
        <w:rPr>
          <w:rFonts w:ascii="Tahoma" w:hAnsi="Tahoma" w:cs="Tahoma"/>
          <w:b w:val="0"/>
        </w:rPr>
        <w:t xml:space="preserve"> </w:t>
      </w:r>
    </w:p>
    <w:p>
      <w:pPr>
        <w:pStyle w:val="6"/>
        <w:numPr>
          <w:ilvl w:val="0"/>
          <w:numId w:val="1"/>
        </w:numPr>
        <w:spacing w:after="0"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Destinatari del fondo sono i dipendenti a tempo indeterminato appartenenti al Se</w:t>
      </w:r>
      <w:r>
        <w:rPr>
          <w:rFonts w:hint="default" w:ascii="Tahoma" w:hAnsi="Tahoma" w:cs="Tahoma"/>
          <w:lang w:val="it-IT"/>
        </w:rPr>
        <w:t>ttore Vigilanza e Controllo -</w:t>
      </w:r>
      <w:r>
        <w:rPr>
          <w:rFonts w:ascii="Tahoma" w:hAnsi="Tahoma" w:cs="Tahoma"/>
        </w:rPr>
        <w:t xml:space="preserve"> Polizia Locale del Comune di </w:t>
      </w:r>
      <w:r>
        <w:rPr>
          <w:rFonts w:hint="default" w:ascii="Tahoma" w:hAnsi="Tahoma" w:cs="Tahoma"/>
          <w:lang w:val="it-IT"/>
        </w:rPr>
        <w:t>Induno Olona</w:t>
      </w:r>
      <w:r>
        <w:rPr>
          <w:rFonts w:ascii="Tahoma" w:hAnsi="Tahoma" w:cs="Tahoma"/>
        </w:rPr>
        <w:t xml:space="preserve"> che abbiano superato il periodo di prova e che siano inquadrati in profili professionali di vigilanza </w:t>
      </w:r>
      <w:r>
        <w:rPr>
          <w:rFonts w:hint="default" w:ascii="Tahoma" w:hAnsi="Tahoma" w:cs="Tahoma"/>
          <w:lang w:val="it-IT"/>
        </w:rPr>
        <w:t xml:space="preserve">- </w:t>
      </w:r>
      <w:r>
        <w:rPr>
          <w:rFonts w:ascii="Tahoma" w:hAnsi="Tahoma" w:cs="Tahoma"/>
        </w:rPr>
        <w:t>e non amministrativ</w:t>
      </w:r>
      <w:r>
        <w:rPr>
          <w:rFonts w:hint="default" w:ascii="Tahoma" w:hAnsi="Tahoma" w:cs="Tahoma"/>
          <w:lang w:val="it-IT"/>
        </w:rPr>
        <w:t>i -</w:t>
      </w:r>
      <w:r>
        <w:rPr>
          <w:rFonts w:ascii="Tahoma" w:hAnsi="Tahoma" w:cs="Tahoma"/>
        </w:rPr>
        <w:t xml:space="preserve"> che comportano la qualifica di Agente o Ufficiale con funzioni </w:t>
      </w:r>
      <w:r>
        <w:rPr>
          <w:rFonts w:hint="default" w:ascii="Tahoma" w:hAnsi="Tahoma" w:cs="Tahoma"/>
          <w:lang w:val="it-IT"/>
        </w:rPr>
        <w:t xml:space="preserve">ausiliarie </w:t>
      </w:r>
      <w:r>
        <w:rPr>
          <w:rFonts w:ascii="Tahoma" w:hAnsi="Tahoma" w:cs="Tahoma"/>
        </w:rPr>
        <w:t>di Pubblica Sicurezza, Polizia Giudiziaria e Polizia Stradale (Legge n. 65 del 7 marzo 1986).</w:t>
      </w:r>
    </w:p>
    <w:p>
      <w:pPr>
        <w:pStyle w:val="6"/>
        <w:numPr>
          <w:ilvl w:val="0"/>
          <w:numId w:val="1"/>
        </w:numPr>
        <w:spacing w:line="276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Per il personale neo-assunto il conferimento delle quote </w:t>
      </w:r>
      <w:r>
        <w:rPr>
          <w:rFonts w:hint="default" w:ascii="Tahoma" w:hAnsi="Tahoma" w:cs="Tahoma"/>
          <w:lang w:val="it-IT"/>
        </w:rPr>
        <w:t xml:space="preserve">ad esso spettanti </w:t>
      </w:r>
      <w:r>
        <w:rPr>
          <w:rFonts w:ascii="Tahoma" w:hAnsi="Tahoma" w:cs="Tahoma"/>
        </w:rPr>
        <w:t>avviene solo decorso</w:t>
      </w:r>
      <w:r>
        <w:rPr>
          <w:rFonts w:hint="default" w:ascii="Tahoma" w:hAnsi="Tahoma" w:cs="Tahoma"/>
          <w:lang w:val="it-IT"/>
        </w:rPr>
        <w:t xml:space="preserve"> positivamente</w:t>
      </w:r>
      <w:r>
        <w:rPr>
          <w:rFonts w:ascii="Tahoma" w:hAnsi="Tahoma" w:cs="Tahoma"/>
        </w:rPr>
        <w:t xml:space="preserve"> il periodo di prova. </w:t>
      </w:r>
    </w:p>
    <w:p>
      <w:pPr>
        <w:spacing w:after="0" w:line="259" w:lineRule="auto"/>
        <w:ind w:left="331" w:firstLine="0"/>
        <w:jc w:val="left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</w:p>
    <w:p>
      <w:pPr>
        <w:pStyle w:val="2"/>
        <w:ind w:left="-5"/>
        <w:rPr>
          <w:rFonts w:ascii="Tahoma" w:hAnsi="Tahoma" w:cs="Tahoma"/>
        </w:rPr>
      </w:pPr>
      <w:r>
        <w:rPr>
          <w:rFonts w:ascii="Tahoma" w:hAnsi="Tahoma" w:cs="Tahoma"/>
        </w:rPr>
        <w:t>Art. 3 – FINALITA’ E FORME DI PREVIDENZA COMPLEMENTARE</w:t>
      </w:r>
      <w:r>
        <w:rPr>
          <w:rFonts w:ascii="Tahoma" w:hAnsi="Tahoma" w:cs="Tahoma"/>
          <w:b w:val="0"/>
        </w:rPr>
        <w:t xml:space="preserve"> </w:t>
      </w:r>
    </w:p>
    <w:p>
      <w:pPr>
        <w:numPr>
          <w:ilvl w:val="0"/>
          <w:numId w:val="2"/>
        </w:numPr>
        <w:spacing w:after="0" w:line="276" w:lineRule="auto"/>
        <w:ind w:left="0" w:firstLine="0"/>
        <w:rPr>
          <w:rFonts w:ascii="Tahoma" w:hAnsi="Tahoma" w:cs="Tahoma"/>
        </w:rPr>
      </w:pPr>
      <w:r>
        <w:rPr>
          <w:rFonts w:ascii="Tahoma" w:hAnsi="Tahoma" w:cs="Tahoma"/>
        </w:rPr>
        <w:t xml:space="preserve">Le risorse individuate secondo i criteri di cui all’articolo 4 del presente Regolamento, sono </w:t>
      </w:r>
      <w:r>
        <w:rPr>
          <w:rFonts w:hint="default" w:ascii="Tahoma" w:hAnsi="Tahoma" w:cs="Tahoma"/>
          <w:lang w:val="it-IT"/>
        </w:rPr>
        <w:tab/>
      </w:r>
      <w:r>
        <w:rPr>
          <w:rFonts w:ascii="Tahoma" w:hAnsi="Tahoma" w:cs="Tahoma"/>
        </w:rPr>
        <w:t xml:space="preserve">destinate esclusivamente alle finalità previdenziali del richiamato articolo 208 del Codice </w:t>
      </w:r>
      <w:r>
        <w:rPr>
          <w:rFonts w:hint="default" w:ascii="Tahoma" w:hAnsi="Tahoma" w:cs="Tahoma"/>
          <w:lang w:val="it-IT"/>
        </w:rPr>
        <w:tab/>
      </w:r>
      <w:r>
        <w:rPr>
          <w:rFonts w:ascii="Tahoma" w:hAnsi="Tahoma" w:cs="Tahoma"/>
        </w:rPr>
        <w:t xml:space="preserve">della Strada, secondo </w:t>
      </w:r>
      <w:r>
        <w:rPr>
          <w:rFonts w:hint="default" w:ascii="Tahoma" w:hAnsi="Tahoma" w:cs="Tahoma"/>
          <w:lang w:val="it-IT"/>
        </w:rPr>
        <w:t>previs</w:t>
      </w:r>
      <w:r>
        <w:rPr>
          <w:rFonts w:ascii="Tahoma" w:hAnsi="Tahoma" w:cs="Tahoma"/>
        </w:rPr>
        <w:t>to dall’art.</w:t>
      </w:r>
      <w:r>
        <w:rPr>
          <w:rFonts w:hint="default" w:ascii="Tahoma" w:hAnsi="Tahoma" w:cs="Tahoma"/>
          <w:lang w:val="it-IT"/>
        </w:rPr>
        <w:t xml:space="preserve"> </w:t>
      </w:r>
      <w:r>
        <w:rPr>
          <w:rFonts w:ascii="Tahoma" w:hAnsi="Tahoma" w:cs="Tahoma"/>
        </w:rPr>
        <w:t>98 del CCNL 2019/2021</w:t>
      </w:r>
      <w:r>
        <w:rPr>
          <w:rFonts w:hint="default" w:ascii="Tahoma" w:hAnsi="Tahoma" w:cs="Tahoma"/>
          <w:lang w:val="it-IT"/>
        </w:rPr>
        <w:t xml:space="preserve">. </w:t>
      </w:r>
      <w:r>
        <w:rPr>
          <w:rFonts w:ascii="Tahoma" w:hAnsi="Tahoma" w:cs="Tahoma"/>
        </w:rPr>
        <w:t xml:space="preserve"> </w:t>
      </w:r>
    </w:p>
    <w:p>
      <w:pPr>
        <w:numPr>
          <w:ilvl w:val="0"/>
          <w:numId w:val="2"/>
        </w:numPr>
        <w:spacing w:after="0" w:line="276" w:lineRule="auto"/>
        <w:ind w:left="0" w:firstLine="0"/>
        <w:rPr>
          <w:rFonts w:ascii="Tahoma" w:hAnsi="Tahoma" w:cs="Tahoma"/>
        </w:rPr>
      </w:pPr>
      <w:r>
        <w:rPr>
          <w:rFonts w:ascii="Tahoma" w:hAnsi="Tahoma" w:cs="Tahoma"/>
        </w:rPr>
        <w:t xml:space="preserve">Il Comune procede </w:t>
      </w:r>
      <w:r>
        <w:rPr>
          <w:rFonts w:hint="default" w:ascii="Tahoma" w:hAnsi="Tahoma" w:cs="Tahoma"/>
          <w:lang w:val="it-IT"/>
        </w:rPr>
        <w:t xml:space="preserve">al riconoscimento della previdenza integrativa mediante la </w:t>
      </w:r>
      <w:r>
        <w:rPr>
          <w:rFonts w:hint="default" w:ascii="Tahoma" w:hAnsi="Tahoma" w:cs="Tahoma"/>
          <w:lang w:val="it-IT"/>
        </w:rPr>
        <w:tab/>
      </w:r>
      <w:r>
        <w:rPr>
          <w:rFonts w:hint="default" w:ascii="Tahoma" w:hAnsi="Tahoma" w:cs="Tahoma"/>
          <w:lang w:val="it-IT"/>
        </w:rPr>
        <w:tab/>
      </w:r>
      <w:r>
        <w:rPr>
          <w:rFonts w:hint="default" w:ascii="Tahoma" w:hAnsi="Tahoma" w:cs="Tahoma"/>
          <w:lang w:val="it-IT"/>
        </w:rPr>
        <w:t>sottoscrizione di un accordo di contrattazione decentrata integrativa</w:t>
      </w:r>
      <w:r>
        <w:rPr>
          <w:rFonts w:ascii="Tahoma" w:hAnsi="Tahoma" w:cs="Tahoma"/>
        </w:rPr>
        <w:t xml:space="preserve"> ed </w:t>
      </w:r>
      <w:r>
        <w:rPr>
          <w:rFonts w:hint="default" w:ascii="Tahoma" w:hAnsi="Tahoma" w:cs="Tahoma"/>
          <w:lang w:val="it-IT"/>
        </w:rPr>
        <w:t>i</w:t>
      </w:r>
      <w:r>
        <w:rPr>
          <w:rFonts w:ascii="Tahoma" w:hAnsi="Tahoma" w:cs="Tahoma"/>
        </w:rPr>
        <w:t xml:space="preserve">l versamento </w:t>
      </w:r>
      <w:r>
        <w:rPr>
          <w:rFonts w:hint="default" w:ascii="Tahoma" w:hAnsi="Tahoma" w:cs="Tahoma"/>
          <w:lang w:val="it-IT"/>
        </w:rPr>
        <w:tab/>
      </w:r>
      <w:r>
        <w:rPr>
          <w:rFonts w:hint="default" w:ascii="Tahoma" w:hAnsi="Tahoma" w:cs="Tahoma"/>
          <w:lang w:val="it-IT"/>
        </w:rPr>
        <w:tab/>
      </w:r>
      <w:r>
        <w:rPr>
          <w:rFonts w:ascii="Tahoma" w:hAnsi="Tahoma" w:cs="Tahoma"/>
        </w:rPr>
        <w:t xml:space="preserve">delle relative contribuzioni </w:t>
      </w:r>
      <w:r>
        <w:rPr>
          <w:rFonts w:hint="default" w:ascii="Tahoma" w:hAnsi="Tahoma" w:cs="Tahoma"/>
          <w:lang w:val="it-IT"/>
        </w:rPr>
        <w:t xml:space="preserve">individuali </w:t>
      </w:r>
      <w:r>
        <w:rPr>
          <w:rFonts w:ascii="Tahoma" w:hAnsi="Tahoma" w:cs="Tahoma"/>
        </w:rPr>
        <w:t xml:space="preserve">al Fondo Pensione Perseo-Sirio per tutti gli </w:t>
      </w:r>
      <w:r>
        <w:rPr>
          <w:rFonts w:hint="default" w:ascii="Tahoma" w:hAnsi="Tahoma" w:cs="Tahoma"/>
          <w:lang w:val="it-IT"/>
        </w:rPr>
        <w:tab/>
      </w:r>
      <w:r>
        <w:rPr>
          <w:rFonts w:ascii="Tahoma" w:hAnsi="Tahoma" w:cs="Tahoma"/>
        </w:rPr>
        <w:t xml:space="preserve">appartenenti al </w:t>
      </w:r>
      <w:r>
        <w:rPr>
          <w:rFonts w:hint="default" w:ascii="Tahoma" w:hAnsi="Tahoma" w:cs="Tahoma"/>
          <w:lang w:val="it-IT"/>
        </w:rPr>
        <w:t>Corpo</w:t>
      </w:r>
      <w:r>
        <w:rPr>
          <w:rFonts w:ascii="Tahoma" w:hAnsi="Tahoma" w:cs="Tahoma"/>
        </w:rPr>
        <w:t xml:space="preserve"> di Polizia Locale individuati </w:t>
      </w:r>
      <w:r>
        <w:rPr>
          <w:rFonts w:hint="default" w:ascii="Tahoma" w:hAnsi="Tahoma" w:cs="Tahoma"/>
          <w:lang w:val="it-IT"/>
        </w:rPr>
        <w:t>secondo l’</w:t>
      </w:r>
      <w:r>
        <w:rPr>
          <w:rFonts w:ascii="Tahoma" w:hAnsi="Tahoma" w:cs="Tahoma"/>
        </w:rPr>
        <w:t xml:space="preserve">articolo precedente. </w:t>
      </w:r>
    </w:p>
    <w:p>
      <w:pPr>
        <w:numPr>
          <w:ilvl w:val="0"/>
          <w:numId w:val="2"/>
        </w:numPr>
        <w:spacing w:after="0" w:line="276" w:lineRule="auto"/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La quota pro-capite </w:t>
      </w:r>
      <w:r>
        <w:rPr>
          <w:rFonts w:hint="default" w:ascii="Tahoma" w:hAnsi="Tahoma" w:cs="Tahoma"/>
          <w:lang w:val="it-IT"/>
        </w:rPr>
        <w:t xml:space="preserve">annuale </w:t>
      </w:r>
      <w:r>
        <w:rPr>
          <w:rFonts w:ascii="Tahoma" w:hAnsi="Tahoma" w:cs="Tahoma"/>
        </w:rPr>
        <w:t xml:space="preserve">da destinare </w:t>
      </w:r>
      <w:r>
        <w:rPr>
          <w:rFonts w:hint="default" w:ascii="Tahoma" w:hAnsi="Tahoma" w:cs="Tahoma"/>
          <w:lang w:val="it-IT"/>
        </w:rPr>
        <w:t>al</w:t>
      </w:r>
      <w:r>
        <w:rPr>
          <w:rFonts w:ascii="Tahoma" w:hAnsi="Tahoma" w:cs="Tahoma"/>
        </w:rPr>
        <w:t xml:space="preserve"> singolo operatore </w:t>
      </w:r>
      <w:r>
        <w:rPr>
          <w:rFonts w:hint="default" w:ascii="Tahoma" w:hAnsi="Tahoma" w:cs="Tahoma"/>
          <w:lang w:val="it-IT"/>
        </w:rPr>
        <w:t xml:space="preserve">di Polizia Locale in possesso </w:t>
      </w:r>
      <w:r>
        <w:rPr>
          <w:rFonts w:hint="default" w:ascii="Tahoma" w:hAnsi="Tahoma" w:cs="Tahoma"/>
          <w:lang w:val="it-IT"/>
        </w:rPr>
        <w:tab/>
      </w:r>
      <w:r>
        <w:rPr>
          <w:rFonts w:hint="default" w:ascii="Tahoma" w:hAnsi="Tahoma" w:cs="Tahoma"/>
          <w:lang w:val="it-IT"/>
        </w:rPr>
        <w:t xml:space="preserve">dei requisiti di cui all’art. 2 è la stessa per tutti gli </w:t>
      </w:r>
      <w:r>
        <w:rPr>
          <w:rFonts w:hint="default" w:ascii="Tahoma" w:hAnsi="Tahoma" w:cs="Tahoma"/>
          <w:lang w:val="it-IT"/>
        </w:rPr>
        <w:tab/>
      </w:r>
      <w:r>
        <w:rPr>
          <w:rFonts w:hint="default" w:ascii="Tahoma" w:hAnsi="Tahoma" w:cs="Tahoma"/>
          <w:lang w:val="it-IT"/>
        </w:rPr>
        <w:tab/>
      </w:r>
      <w:r>
        <w:rPr>
          <w:rFonts w:hint="default" w:ascii="Tahoma" w:hAnsi="Tahoma" w:cs="Tahoma"/>
          <w:lang w:val="it-IT"/>
        </w:rPr>
        <w:t xml:space="preserve">operatori aventi  diritto, a </w:t>
      </w:r>
      <w:r>
        <w:rPr>
          <w:rFonts w:hint="default" w:ascii="Tahoma" w:hAnsi="Tahoma" w:cs="Tahoma"/>
          <w:lang w:val="it-IT"/>
        </w:rPr>
        <w:tab/>
      </w:r>
      <w:r>
        <w:rPr>
          <w:rFonts w:hint="default" w:ascii="Tahoma" w:hAnsi="Tahoma" w:cs="Tahoma"/>
          <w:lang w:val="it-IT"/>
        </w:rPr>
        <w:t>prescindere dal</w:t>
      </w:r>
      <w:r>
        <w:rPr>
          <w:rFonts w:ascii="Tahoma" w:hAnsi="Tahoma" w:cs="Tahoma"/>
        </w:rPr>
        <w:t xml:space="preserve">la categoria giuridica o economica di </w:t>
      </w:r>
      <w:r>
        <w:rPr>
          <w:rFonts w:hint="default" w:ascii="Tahoma" w:hAnsi="Tahoma" w:cs="Tahoma"/>
          <w:lang w:val="it-IT"/>
        </w:rPr>
        <w:tab/>
      </w:r>
      <w:r>
        <w:rPr>
          <w:rFonts w:ascii="Tahoma" w:hAnsi="Tahoma" w:cs="Tahoma"/>
        </w:rPr>
        <w:t xml:space="preserve">appartenenza. Al contrario, </w:t>
      </w:r>
      <w:r>
        <w:rPr>
          <w:rFonts w:hint="default" w:ascii="Tahoma" w:hAnsi="Tahoma" w:cs="Tahoma"/>
          <w:lang w:val="it-IT"/>
        </w:rPr>
        <w:tab/>
      </w:r>
      <w:r>
        <w:rPr>
          <w:rFonts w:ascii="Tahoma" w:hAnsi="Tahoma" w:cs="Tahoma"/>
        </w:rPr>
        <w:t xml:space="preserve">verrà tenuto conto </w:t>
      </w:r>
      <w:r>
        <w:rPr>
          <w:rFonts w:hint="default" w:ascii="Tahoma" w:hAnsi="Tahoma" w:cs="Tahoma"/>
          <w:lang w:val="it-IT"/>
        </w:rPr>
        <w:tab/>
      </w:r>
      <w:r>
        <w:rPr>
          <w:rFonts w:ascii="Tahoma" w:hAnsi="Tahoma" w:cs="Tahoma"/>
        </w:rPr>
        <w:t xml:space="preserve">dell’eventuale assenza </w:t>
      </w:r>
      <w:r>
        <w:rPr>
          <w:rFonts w:hint="default" w:ascii="Tahoma" w:hAnsi="Tahoma" w:cs="Tahoma"/>
          <w:lang w:val="it-IT"/>
        </w:rPr>
        <w:t xml:space="preserve">dal lavoro per </w:t>
      </w:r>
      <w:r>
        <w:rPr>
          <w:rFonts w:hint="default" w:ascii="Tahoma" w:hAnsi="Tahoma" w:cs="Tahoma"/>
          <w:lang w:val="it-IT"/>
        </w:rPr>
        <w:tab/>
      </w:r>
      <w:r>
        <w:rPr>
          <w:rFonts w:hint="default" w:ascii="Tahoma" w:hAnsi="Tahoma" w:cs="Tahoma"/>
          <w:lang w:val="it-IT"/>
        </w:rPr>
        <w:t xml:space="preserve">periodi </w:t>
      </w:r>
      <w:r>
        <w:rPr>
          <w:rFonts w:ascii="Tahoma" w:hAnsi="Tahoma" w:cs="Tahoma"/>
        </w:rPr>
        <w:t xml:space="preserve">che non sono </w:t>
      </w:r>
      <w:r>
        <w:rPr>
          <w:rFonts w:hint="default" w:ascii="Tahoma" w:hAnsi="Tahoma" w:cs="Tahoma"/>
          <w:lang w:val="it-IT"/>
        </w:rPr>
        <w:tab/>
      </w:r>
      <w:r>
        <w:rPr>
          <w:rFonts w:ascii="Tahoma" w:hAnsi="Tahoma" w:cs="Tahoma"/>
        </w:rPr>
        <w:t xml:space="preserve">soggetti a </w:t>
      </w:r>
      <w:r>
        <w:rPr>
          <w:rFonts w:hint="default" w:ascii="Tahoma" w:hAnsi="Tahoma" w:cs="Tahoma"/>
          <w:lang w:val="it-IT"/>
        </w:rPr>
        <w:tab/>
      </w:r>
      <w:r>
        <w:rPr>
          <w:rFonts w:ascii="Tahoma" w:hAnsi="Tahoma" w:cs="Tahoma"/>
        </w:rPr>
        <w:t xml:space="preserve">contribuzione </w:t>
      </w:r>
      <w:r>
        <w:rPr>
          <w:rFonts w:hint="default" w:ascii="Tahoma" w:hAnsi="Tahoma" w:cs="Tahoma"/>
          <w:lang w:val="it-IT"/>
        </w:rPr>
        <w:tab/>
      </w:r>
      <w:r>
        <w:rPr>
          <w:rFonts w:ascii="Tahoma" w:hAnsi="Tahoma" w:cs="Tahoma"/>
        </w:rPr>
        <w:t xml:space="preserve">previdenziale obbligatoria. </w:t>
      </w:r>
    </w:p>
    <w:p>
      <w:pPr>
        <w:numPr>
          <w:ilvl w:val="0"/>
          <w:numId w:val="2"/>
        </w:numPr>
        <w:spacing w:after="0" w:line="276" w:lineRule="auto"/>
        <w:ind w:left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La quota lorda è soggetta ad un contributo di solidarietà del 10%, a favore dell’ex</w:t>
      </w:r>
      <w:r>
        <w:rPr>
          <w:rFonts w:hint="default" w:ascii="Tahoma" w:hAnsi="Tahoma" w:cs="Tahoma"/>
          <w:lang w:val="it-IT"/>
        </w:rPr>
        <w:t xml:space="preserve"> Inpdap</w:t>
      </w:r>
      <w:r>
        <w:rPr>
          <w:rFonts w:hint="default" w:ascii="Tahoma" w:hAnsi="Tahoma" w:cs="Tahoma"/>
          <w:lang w:val="it-IT"/>
        </w:rPr>
        <w:tab/>
      </w:r>
      <w:r>
        <w:rPr>
          <w:rFonts w:ascii="Tahoma" w:hAnsi="Tahoma" w:cs="Tahoma"/>
        </w:rPr>
        <w:t xml:space="preserve">per gli effetti della normativa vigente di riferimento, ed è comprensiva delle </w:t>
      </w:r>
      <w:r>
        <w:rPr>
          <w:rFonts w:hint="default" w:ascii="Tahoma" w:hAnsi="Tahoma" w:cs="Tahoma"/>
          <w:lang w:val="it-IT"/>
        </w:rPr>
        <w:tab/>
      </w:r>
      <w:r>
        <w:rPr>
          <w:rFonts w:ascii="Tahoma" w:hAnsi="Tahoma" w:cs="Tahoma"/>
        </w:rPr>
        <w:t xml:space="preserve">spese </w:t>
      </w:r>
      <w:r>
        <w:rPr>
          <w:rFonts w:hint="default" w:ascii="Tahoma" w:hAnsi="Tahoma" w:cs="Tahoma"/>
          <w:lang w:val="it-IT"/>
        </w:rPr>
        <w:tab/>
      </w:r>
      <w:r>
        <w:rPr>
          <w:rFonts w:ascii="Tahoma" w:hAnsi="Tahoma" w:cs="Tahoma"/>
        </w:rPr>
        <w:t xml:space="preserve">amministrative di gestione. </w:t>
      </w:r>
    </w:p>
    <w:p>
      <w:pPr>
        <w:spacing w:after="0" w:line="259" w:lineRule="auto"/>
        <w:ind w:left="0" w:firstLine="0"/>
        <w:jc w:val="left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</w:p>
    <w:p>
      <w:pPr>
        <w:pStyle w:val="2"/>
        <w:ind w:left="-5"/>
        <w:rPr>
          <w:rFonts w:ascii="Tahoma" w:hAnsi="Tahoma" w:cs="Tahoma"/>
        </w:rPr>
      </w:pPr>
      <w:r>
        <w:rPr>
          <w:rFonts w:ascii="Tahoma" w:hAnsi="Tahoma" w:cs="Tahoma"/>
        </w:rPr>
        <w:t xml:space="preserve">Art. 4 – FINANZIAMENTO </w:t>
      </w:r>
    </w:p>
    <w:p>
      <w:pPr>
        <w:numPr>
          <w:ilvl w:val="0"/>
          <w:numId w:val="0"/>
        </w:numPr>
        <w:spacing w:after="0" w:line="276" w:lineRule="auto"/>
        <w:ind w:leftChars="0"/>
        <w:rPr>
          <w:rFonts w:ascii="Tahoma" w:hAnsi="Tahoma" w:cs="Tahoma"/>
          <w:sz w:val="10"/>
          <w:szCs w:val="10"/>
        </w:rPr>
      </w:pPr>
      <w:r>
        <w:rPr>
          <w:rFonts w:ascii="Tahoma" w:hAnsi="Tahoma" w:cs="Tahoma"/>
        </w:rPr>
        <w:t xml:space="preserve"> </w:t>
      </w:r>
    </w:p>
    <w:p>
      <w:pPr>
        <w:pStyle w:val="6"/>
        <w:numPr>
          <w:ilvl w:val="0"/>
          <w:numId w:val="3"/>
        </w:numPr>
        <w:spacing w:line="276" w:lineRule="auto"/>
        <w:rPr>
          <w:rFonts w:ascii="Tahoma" w:hAnsi="Tahoma" w:cs="Tahoma"/>
        </w:rPr>
      </w:pPr>
      <w:r>
        <w:rPr>
          <w:rFonts w:hint="default" w:ascii="Tahoma" w:hAnsi="Tahoma" w:cs="Tahoma"/>
          <w:lang w:val="it-IT"/>
        </w:rPr>
        <w:t>N</w:t>
      </w:r>
      <w:r>
        <w:rPr>
          <w:rFonts w:ascii="Tahoma" w:hAnsi="Tahoma" w:cs="Tahoma"/>
        </w:rPr>
        <w:t>el rispetto dei limiti stabiliti dal</w:t>
      </w:r>
      <w:r>
        <w:rPr>
          <w:rFonts w:hint="default" w:ascii="Tahoma" w:hAnsi="Tahoma" w:cs="Tahoma"/>
          <w:lang w:val="it-IT"/>
        </w:rPr>
        <w:t>l’</w:t>
      </w:r>
      <w:r>
        <w:rPr>
          <w:rFonts w:ascii="Tahoma" w:hAnsi="Tahoma" w:cs="Tahoma"/>
        </w:rPr>
        <w:t xml:space="preserve"> articolo </w:t>
      </w:r>
      <w:r>
        <w:rPr>
          <w:rFonts w:hint="default" w:ascii="Tahoma" w:hAnsi="Tahoma" w:cs="Tahoma"/>
          <w:lang w:val="it-IT"/>
        </w:rPr>
        <w:t xml:space="preserve">208 del Codice della Strada, si stabilisce tale quota in € </w:t>
      </w:r>
      <w:r>
        <w:rPr>
          <w:rFonts w:hint="default" w:ascii="Tahoma" w:hAnsi="Tahoma" w:cs="Tahoma"/>
          <w:color w:val="ED7D31" w:themeColor="accent2"/>
          <w:lang w:val="it-IT"/>
          <w14:textFill>
            <w14:solidFill>
              <w14:schemeClr w14:val="accent2"/>
            </w14:solidFill>
          </w14:textFill>
        </w:rPr>
        <w:t>3.600,00 (tremilaseicento/00) annui complessivi per il 2023 ed in € 1.100,00 pro-capite/anno dal 2024 in poi,</w:t>
      </w:r>
      <w:r>
        <w:rPr>
          <w:rFonts w:hint="default" w:ascii="Tahoma" w:hAnsi="Tahoma" w:cs="Tahoma"/>
          <w:lang w:val="it-IT"/>
        </w:rPr>
        <w:t xml:space="preserve"> che saranno stanziati in fase di approvazione della delibera di destinazione dei proventi allegata al bilancio di previsione,</w:t>
      </w:r>
      <w:r>
        <w:rPr>
          <w:rFonts w:ascii="Tahoma" w:hAnsi="Tahoma" w:cs="Tahoma"/>
        </w:rPr>
        <w:t xml:space="preserve"> all’inizio di ogni anno finanziario. Tale previsione terrà conto </w:t>
      </w:r>
      <w:r>
        <w:rPr>
          <w:rFonts w:hint="default" w:ascii="Tahoma" w:hAnsi="Tahoma" w:cs="Tahoma"/>
          <w:lang w:val="it-IT"/>
        </w:rPr>
        <w:t xml:space="preserve">comunque </w:t>
      </w:r>
      <w:r>
        <w:rPr>
          <w:rFonts w:ascii="Tahoma" w:hAnsi="Tahoma" w:cs="Tahoma"/>
        </w:rPr>
        <w:t>degli obbiettivi raggiunti e</w:t>
      </w:r>
      <w:r>
        <w:rPr>
          <w:rFonts w:hint="default" w:ascii="Tahoma" w:hAnsi="Tahoma" w:cs="Tahoma"/>
          <w:lang w:val="it-IT"/>
        </w:rPr>
        <w:t>, in caso di una diminuzione molto sensibile - ovvero dal 50% in sù - dei proventi effettivamente incassati rispetto alla media dei due anni precedenti,</w:t>
      </w:r>
      <w:r>
        <w:rPr>
          <w:rFonts w:ascii="Tahoma" w:hAnsi="Tahoma" w:cs="Tahoma"/>
        </w:rPr>
        <w:t xml:space="preserve"> </w:t>
      </w:r>
      <w:r>
        <w:rPr>
          <w:rFonts w:hint="default" w:ascii="Tahoma" w:hAnsi="Tahoma" w:cs="Tahoma"/>
          <w:lang w:val="it-IT"/>
        </w:rPr>
        <w:t xml:space="preserve">la quota destinata ad ogni singolo operatore </w:t>
      </w:r>
      <w:r>
        <w:rPr>
          <w:rFonts w:hint="default" w:ascii="Tahoma" w:hAnsi="Tahoma" w:cs="Tahoma"/>
          <w:color w:val="ED7D31" w:themeColor="accent2"/>
          <w:lang w:val="it-IT"/>
          <w14:textFill>
            <w14:solidFill>
              <w14:schemeClr w14:val="accent2"/>
            </w14:solidFill>
          </w14:textFill>
        </w:rPr>
        <w:t>non</w:t>
      </w:r>
      <w:r>
        <w:rPr>
          <w:rFonts w:ascii="Tahoma" w:hAnsi="Tahoma" w:cs="Tahoma"/>
          <w:color w:val="ED7D31" w:themeColor="accent2"/>
          <w14:textFill>
            <w14:solidFill>
              <w14:schemeClr w14:val="accent2"/>
            </w14:solidFill>
          </w14:textFill>
        </w:rPr>
        <w:t xml:space="preserve"> potrà </w:t>
      </w:r>
      <w:r>
        <w:rPr>
          <w:rFonts w:hint="default" w:ascii="Tahoma" w:hAnsi="Tahoma" w:cs="Tahoma"/>
          <w:color w:val="ED7D31" w:themeColor="accent2"/>
          <w:lang w:val="it-IT"/>
          <w14:textFill>
            <w14:solidFill>
              <w14:schemeClr w14:val="accent2"/>
            </w14:solidFill>
          </w14:textFill>
        </w:rPr>
        <w:t>superare</w:t>
      </w:r>
      <w:r>
        <w:rPr>
          <w:rFonts w:ascii="Tahoma" w:hAnsi="Tahoma" w:cs="Tahoma"/>
          <w:color w:val="ED7D31" w:themeColor="accent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ascii="Tahoma" w:hAnsi="Tahoma" w:cs="Tahoma"/>
          <w:color w:val="ED7D31" w:themeColor="accent2"/>
          <w:lang w:val="it-IT"/>
          <w14:textFill>
            <w14:solidFill>
              <w14:schemeClr w14:val="accent2"/>
            </w14:solidFill>
          </w14:textFill>
        </w:rPr>
        <w:t>€</w:t>
      </w:r>
      <w:r>
        <w:rPr>
          <w:rFonts w:ascii="Tahoma" w:hAnsi="Tahoma" w:cs="Tahoma"/>
          <w:color w:val="ED7D31" w:themeColor="accent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default" w:ascii="Tahoma" w:hAnsi="Tahoma" w:cs="Tahoma"/>
          <w:color w:val="ED7D31" w:themeColor="accent2"/>
          <w:lang w:val="it-IT"/>
          <w14:textFill>
            <w14:solidFill>
              <w14:schemeClr w14:val="accent2"/>
            </w14:solidFill>
          </w14:textFill>
        </w:rPr>
        <w:t>8</w:t>
      </w:r>
      <w:r>
        <w:rPr>
          <w:rFonts w:ascii="Tahoma" w:hAnsi="Tahoma" w:cs="Tahoma"/>
          <w:color w:val="ED7D31" w:themeColor="accent2"/>
          <w14:textFill>
            <w14:solidFill>
              <w14:schemeClr w14:val="accent2"/>
            </w14:solidFill>
          </w14:textFill>
        </w:rPr>
        <w:t>00,00</w:t>
      </w:r>
      <w:r>
        <w:rPr>
          <w:rFonts w:ascii="Tahoma" w:hAnsi="Tahoma" w:cs="Tahoma"/>
        </w:rPr>
        <w:t xml:space="preserve"> al lordo delle spese di gestione del fondo</w:t>
      </w:r>
      <w:r>
        <w:rPr>
          <w:rFonts w:hint="default" w:ascii="Tahoma" w:hAnsi="Tahoma" w:cs="Tahoma"/>
          <w:lang w:val="it-IT"/>
        </w:rPr>
        <w:t xml:space="preserve"> e del contributo da destinare al fondo di solidarietà Inpdap. Allo stesso modo, l’eventuale incremento del 50% degli introiti di cui sopra, rispetto alla media dei due anni precedenti, darà luogo al diritto di una </w:t>
      </w:r>
      <w:r>
        <w:rPr>
          <w:rFonts w:hint="default" w:ascii="Tahoma" w:hAnsi="Tahoma" w:cs="Tahoma"/>
          <w:color w:val="ED7D31" w:themeColor="accent2"/>
          <w:lang w:val="it-IT"/>
          <w14:textFill>
            <w14:solidFill>
              <w14:schemeClr w14:val="accent2"/>
            </w14:solidFill>
          </w14:textFill>
        </w:rPr>
        <w:t>quota pro-capite di € 1.300 per</w:t>
      </w:r>
      <w:r>
        <w:rPr>
          <w:rFonts w:hint="default" w:ascii="Tahoma" w:hAnsi="Tahoma" w:cs="Tahoma"/>
          <w:lang w:val="it-IT"/>
        </w:rPr>
        <w:t xml:space="preserve"> il solo anno a cui si riferiscono i proventi incassi. </w:t>
      </w:r>
    </w:p>
    <w:p>
      <w:pPr>
        <w:numPr>
          <w:ilvl w:val="0"/>
          <w:numId w:val="3"/>
        </w:numPr>
        <w:spacing w:line="276" w:lineRule="auto"/>
        <w:ind w:hanging="360"/>
        <w:rPr>
          <w:rFonts w:ascii="Tahoma" w:hAnsi="Tahoma" w:cs="Tahoma"/>
        </w:rPr>
      </w:pPr>
      <w:r>
        <w:rPr>
          <w:rFonts w:ascii="Tahoma" w:hAnsi="Tahoma" w:cs="Tahoma"/>
        </w:rPr>
        <w:t>Il Responsabile del Se</w:t>
      </w:r>
      <w:r>
        <w:rPr>
          <w:rFonts w:hint="default" w:ascii="Tahoma" w:hAnsi="Tahoma" w:cs="Tahoma"/>
          <w:lang w:val="it-IT"/>
        </w:rPr>
        <w:t>ttore</w:t>
      </w:r>
      <w:r>
        <w:rPr>
          <w:rFonts w:ascii="Tahoma" w:hAnsi="Tahoma" w:cs="Tahoma"/>
        </w:rPr>
        <w:t xml:space="preserve"> della Polizia Locale, previa determinazione di impegno di spesa, provvederà ad effettuare apposita liquidazione demandando all’Ufficio Ragioneria i versamenti a favore del Fondo Perseo-Sirio, secondo le modalità</w:t>
      </w:r>
      <w:bookmarkStart w:id="0" w:name="_GoBack"/>
      <w:bookmarkEnd w:id="0"/>
      <w:r>
        <w:rPr>
          <w:rFonts w:ascii="Tahoma" w:hAnsi="Tahoma" w:cs="Tahoma"/>
        </w:rPr>
        <w:t xml:space="preserve"> previste dal fondo medesimo. </w:t>
      </w:r>
    </w:p>
    <w:p>
      <w:pPr>
        <w:spacing w:after="0" w:line="259" w:lineRule="auto"/>
        <w:ind w:left="0" w:firstLine="0"/>
        <w:jc w:val="left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</w:p>
    <w:p>
      <w:pPr>
        <w:pStyle w:val="2"/>
        <w:ind w:left="-5"/>
        <w:rPr>
          <w:rFonts w:ascii="Tahoma" w:hAnsi="Tahoma" w:cs="Tahoma"/>
        </w:rPr>
      </w:pPr>
      <w:r>
        <w:rPr>
          <w:rFonts w:ascii="Tahoma" w:hAnsi="Tahoma" w:cs="Tahoma"/>
        </w:rPr>
        <w:t xml:space="preserve">Art. 5 – MODALITA’ PROCEDIMENTALI </w:t>
      </w:r>
    </w:p>
    <w:p>
      <w:pPr>
        <w:numPr>
          <w:ilvl w:val="0"/>
          <w:numId w:val="4"/>
        </w:numPr>
        <w:spacing w:line="276" w:lineRule="auto"/>
        <w:ind w:hanging="360"/>
        <w:rPr>
          <w:rFonts w:ascii="Tahoma" w:hAnsi="Tahoma" w:cs="Tahoma"/>
        </w:rPr>
      </w:pPr>
      <w:r>
        <w:rPr>
          <w:rFonts w:ascii="Tahoma" w:hAnsi="Tahoma" w:cs="Tahoma"/>
        </w:rPr>
        <w:t xml:space="preserve">Entro il 31 dicembre di ogni anno, il Responsabile del Servizio di Polizia Locale con le modalità previste dal presente Regolamento, destinerà la quota pro-capite al singolo dipendente, in riferimento all’anno di competenza. </w:t>
      </w:r>
    </w:p>
    <w:p>
      <w:pPr>
        <w:numPr>
          <w:ilvl w:val="0"/>
          <w:numId w:val="4"/>
        </w:numPr>
        <w:spacing w:line="276" w:lineRule="auto"/>
        <w:ind w:hanging="360"/>
        <w:rPr>
          <w:rFonts w:ascii="Tahoma" w:hAnsi="Tahoma" w:cs="Tahoma"/>
        </w:rPr>
      </w:pPr>
      <w:r>
        <w:rPr>
          <w:rFonts w:ascii="Tahoma" w:hAnsi="Tahoma" w:cs="Tahoma"/>
        </w:rPr>
        <w:t xml:space="preserve">E’ data facoltà a ciascun iscritto di effettuare versamenti contributivi integrativi e volontari, secondo il regolamento del Fondo Perseo-Sirio. </w:t>
      </w:r>
    </w:p>
    <w:p>
      <w:pPr>
        <w:spacing w:after="0" w:line="259" w:lineRule="auto"/>
        <w:ind w:left="360" w:firstLine="0"/>
        <w:jc w:val="left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</w:p>
    <w:p>
      <w:pPr>
        <w:pStyle w:val="2"/>
        <w:ind w:left="-5"/>
        <w:rPr>
          <w:rFonts w:ascii="Tahoma" w:hAnsi="Tahoma" w:cs="Tahoma"/>
        </w:rPr>
      </w:pPr>
      <w:r>
        <w:rPr>
          <w:rFonts w:ascii="Tahoma" w:hAnsi="Tahoma" w:cs="Tahoma"/>
        </w:rPr>
        <w:t>Art. 6 – CESSAZIONE DELLA CONDIZIONE DI CONTRIBUZIONE DELL’ENTE</w:t>
      </w:r>
      <w:r>
        <w:rPr>
          <w:rFonts w:ascii="Tahoma" w:hAnsi="Tahoma" w:cs="Tahoma"/>
          <w:b w:val="0"/>
        </w:rPr>
        <w:t xml:space="preserve"> </w:t>
      </w:r>
    </w:p>
    <w:p>
      <w:pPr>
        <w:numPr>
          <w:ilvl w:val="0"/>
          <w:numId w:val="5"/>
        </w:numPr>
        <w:spacing w:line="276" w:lineRule="auto"/>
        <w:ind w:hanging="329"/>
        <w:rPr>
          <w:rFonts w:ascii="Tahoma" w:hAnsi="Tahoma" w:cs="Tahoma"/>
        </w:rPr>
      </w:pPr>
      <w:r>
        <w:rPr>
          <w:rFonts w:ascii="Tahoma" w:hAnsi="Tahoma" w:cs="Tahoma"/>
        </w:rPr>
        <w:t xml:space="preserve">Cessa l’obbligo contributivo dell’Ente in caso di cessazione del rapporto di lavoro con il Comune di </w:t>
      </w:r>
      <w:r>
        <w:rPr>
          <w:rFonts w:hint="default" w:ascii="Tahoma" w:hAnsi="Tahoma" w:cs="Tahoma"/>
          <w:lang w:val="it-IT"/>
        </w:rPr>
        <w:t>Induno Olona,</w:t>
      </w:r>
      <w:r>
        <w:rPr>
          <w:rFonts w:ascii="Tahoma" w:hAnsi="Tahoma" w:cs="Tahoma"/>
        </w:rPr>
        <w:t xml:space="preserve"> ovvero di mobilità interna in altri Settori, o comunque di perdita della qualifica di Operatore di Polizia Locale. Rimane salva la facoltà per il lavoratore di proseguire la partecipazione su base personale; </w:t>
      </w:r>
    </w:p>
    <w:p>
      <w:pPr>
        <w:numPr>
          <w:ilvl w:val="0"/>
          <w:numId w:val="5"/>
        </w:numPr>
        <w:spacing w:line="276" w:lineRule="auto"/>
        <w:ind w:hanging="329"/>
        <w:rPr>
          <w:rFonts w:ascii="Tahoma" w:hAnsi="Tahoma" w:cs="Tahoma"/>
        </w:rPr>
      </w:pPr>
      <w:r>
        <w:rPr>
          <w:rFonts w:ascii="Tahoma" w:hAnsi="Tahoma" w:cs="Tahoma"/>
        </w:rPr>
        <w:t xml:space="preserve">L’obbligo dell’Ente è, altresì, sospeso esclusivamente durante la fruizione di periodi di aspettativa non retribuita del dipendente nei casi disciplinati dalla normativa o dal C.C.N.L. </w:t>
      </w:r>
    </w:p>
    <w:p>
      <w:pPr>
        <w:spacing w:after="0" w:line="259" w:lineRule="auto"/>
        <w:ind w:left="1068" w:firstLine="0"/>
        <w:jc w:val="left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</w:p>
    <w:p>
      <w:pPr>
        <w:pStyle w:val="2"/>
        <w:ind w:left="-5"/>
        <w:rPr>
          <w:rFonts w:ascii="Tahoma" w:hAnsi="Tahoma" w:cs="Tahoma"/>
        </w:rPr>
      </w:pPr>
      <w:r>
        <w:rPr>
          <w:rFonts w:ascii="Tahoma" w:hAnsi="Tahoma" w:cs="Tahoma"/>
        </w:rPr>
        <w:t xml:space="preserve">ART. 7 – TUTELA DELLA PRIVACY E RISERVATEZZA DEI DATI </w:t>
      </w:r>
    </w:p>
    <w:p>
      <w:pPr>
        <w:spacing w:line="240" w:lineRule="auto"/>
        <w:ind w:left="220" w:hanging="220" w:hangingChars="100"/>
        <w:jc w:val="both"/>
        <w:rPr>
          <w:rFonts w:ascii="Tahoma" w:hAnsi="Tahoma" w:cs="Tahoma"/>
        </w:rPr>
      </w:pPr>
      <w:r>
        <w:rPr>
          <w:rFonts w:hint="default" w:ascii="Tahoma" w:hAnsi="Tahoma" w:cs="Tahoma"/>
          <w:lang w:val="it-IT"/>
        </w:rPr>
        <w:t>1.</w:t>
      </w:r>
      <w:r>
        <w:rPr>
          <w:rFonts w:hint="default" w:ascii="Tahoma" w:hAnsi="Tahoma" w:cs="Tahoma"/>
          <w:lang w:val="it-IT"/>
        </w:rPr>
        <w:tab/>
      </w:r>
      <w:r>
        <w:rPr>
          <w:rFonts w:ascii="Tahoma" w:hAnsi="Tahoma" w:cs="Tahoma"/>
        </w:rPr>
        <w:t>Il dipendente, al fine di permettere l’attuazione della forma di previdenza complementare, deve acconsentire, ai sensi del D</w:t>
      </w:r>
      <w:r>
        <w:rPr>
          <w:rFonts w:hint="default" w:ascii="Tahoma" w:hAnsi="Tahoma" w:cs="Tahoma"/>
          <w:lang w:val="it-IT"/>
        </w:rPr>
        <w:t>.Lgs.</w:t>
      </w:r>
      <w:r>
        <w:rPr>
          <w:rFonts w:ascii="Tahoma" w:hAnsi="Tahoma" w:cs="Tahoma"/>
        </w:rPr>
        <w:t xml:space="preserve"> n. 196 del 30 Giugno 2003 e ss.mm.ii. e del Regolamento Europeo n. 679/2016, al trattamento dei propri dati personali da parte del Comune di </w:t>
      </w:r>
      <w:r>
        <w:rPr>
          <w:rFonts w:hint="default" w:ascii="Tahoma" w:hAnsi="Tahoma" w:cs="Tahoma"/>
          <w:lang w:val="it-IT"/>
        </w:rPr>
        <w:t>Induno Olona</w:t>
      </w:r>
      <w:r>
        <w:rPr>
          <w:rFonts w:ascii="Tahoma" w:hAnsi="Tahoma" w:cs="Tahoma"/>
        </w:rPr>
        <w:t xml:space="preserve">, nonché del gestore del fondo. Il consenso è condizionato al rispetto delle disposizioni della normativa vigente. </w:t>
      </w:r>
    </w:p>
    <w:p>
      <w:pPr>
        <w:spacing w:after="0" w:line="259" w:lineRule="auto"/>
        <w:ind w:left="360" w:firstLine="0"/>
        <w:jc w:val="left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</w:p>
    <w:p>
      <w:pPr>
        <w:pStyle w:val="2"/>
        <w:ind w:left="-5"/>
        <w:rPr>
          <w:rFonts w:ascii="Tahoma" w:hAnsi="Tahoma" w:cs="Tahoma"/>
        </w:rPr>
      </w:pPr>
      <w:r>
        <w:rPr>
          <w:rFonts w:ascii="Tahoma" w:hAnsi="Tahoma" w:cs="Tahoma"/>
          <w:b w:val="0"/>
        </w:rPr>
        <w:t xml:space="preserve"> </w:t>
      </w:r>
      <w:r>
        <w:rPr>
          <w:rFonts w:ascii="Tahoma" w:hAnsi="Tahoma" w:cs="Tahoma"/>
        </w:rPr>
        <w:t>Art. 8 – ENTRATA IN VIGORE E NORMA TRANSITORIA</w:t>
      </w:r>
      <w:r>
        <w:rPr>
          <w:rFonts w:ascii="Tahoma" w:hAnsi="Tahoma" w:cs="Tahoma"/>
          <w:b w:val="0"/>
        </w:rPr>
        <w:t xml:space="preserve"> </w:t>
      </w:r>
    </w:p>
    <w:p>
      <w:pPr>
        <w:numPr>
          <w:ilvl w:val="0"/>
          <w:numId w:val="6"/>
        </w:numPr>
        <w:spacing w:line="276" w:lineRule="auto"/>
        <w:ind w:hanging="329"/>
        <w:rPr>
          <w:rFonts w:ascii="Tahoma" w:hAnsi="Tahoma" w:cs="Tahoma"/>
        </w:rPr>
      </w:pPr>
      <w:r>
        <w:rPr>
          <w:rFonts w:ascii="Tahoma" w:hAnsi="Tahoma" w:cs="Tahoma"/>
        </w:rPr>
        <w:t xml:space="preserve">Il presente Regolamento, divenuta esecutiva la deliberazione di approvazione, è depositato nella segreteria comunale per 15 (quindici) giorni consecutivi. </w:t>
      </w:r>
      <w:r>
        <w:rPr>
          <w:rFonts w:hint="default" w:ascii="Tahoma" w:hAnsi="Tahoma" w:cs="Tahoma"/>
          <w:lang w:val="it-IT"/>
        </w:rPr>
        <w:t>Lo stesso e</w:t>
      </w:r>
      <w:r>
        <w:rPr>
          <w:rFonts w:ascii="Tahoma" w:hAnsi="Tahoma" w:cs="Tahoma"/>
        </w:rPr>
        <w:t>ntr</w:t>
      </w:r>
      <w:r>
        <w:rPr>
          <w:rFonts w:hint="default" w:ascii="Tahoma" w:hAnsi="Tahoma" w:cs="Tahoma"/>
          <w:lang w:val="it-IT"/>
        </w:rPr>
        <w:t>erà</w:t>
      </w:r>
      <w:r>
        <w:rPr>
          <w:rFonts w:ascii="Tahoma" w:hAnsi="Tahoma" w:cs="Tahoma"/>
        </w:rPr>
        <w:t xml:space="preserve"> in vigore </w:t>
      </w:r>
      <w:r>
        <w:rPr>
          <w:rFonts w:hint="default" w:ascii="Tahoma" w:hAnsi="Tahoma" w:cs="Tahoma"/>
          <w:lang w:val="it-IT"/>
        </w:rPr>
        <w:t>secondo i termini stabiliti dallo</w:t>
      </w:r>
      <w:r>
        <w:rPr>
          <w:rFonts w:ascii="Tahoma" w:hAnsi="Tahoma" w:cs="Tahoma"/>
        </w:rPr>
        <w:t xml:space="preserve"> Statuto Comunale. </w:t>
      </w:r>
    </w:p>
    <w:p>
      <w:pPr>
        <w:numPr>
          <w:ilvl w:val="0"/>
          <w:numId w:val="6"/>
        </w:numPr>
        <w:spacing w:line="276" w:lineRule="auto"/>
        <w:ind w:hanging="329"/>
        <w:rPr>
          <w:rFonts w:ascii="Tahoma" w:hAnsi="Tahoma" w:cs="Tahoma"/>
        </w:rPr>
      </w:pPr>
      <w:r>
        <w:rPr>
          <w:rFonts w:ascii="Tahoma" w:hAnsi="Tahoma" w:cs="Tahoma"/>
        </w:rPr>
        <w:t>Per tutti gli aspetti non espressamente disciplinati dal presente Regolamento, trovano applicazione le disposizioni di legge</w:t>
      </w:r>
      <w:r>
        <w:rPr>
          <w:rFonts w:hint="default" w:ascii="Tahoma" w:hAnsi="Tahoma" w:cs="Tahoma"/>
          <w:lang w:val="it-IT"/>
        </w:rPr>
        <w:t xml:space="preserve"> </w:t>
      </w:r>
      <w:r>
        <w:rPr>
          <w:rFonts w:ascii="Tahoma" w:hAnsi="Tahoma" w:cs="Tahoma"/>
        </w:rPr>
        <w:t xml:space="preserve">e le norme contrattali di riferimento. </w:t>
      </w:r>
    </w:p>
    <w:p>
      <w:pPr>
        <w:numPr>
          <w:ilvl w:val="0"/>
          <w:numId w:val="6"/>
        </w:numPr>
        <w:spacing w:line="276" w:lineRule="auto"/>
        <w:ind w:hanging="329"/>
        <w:rPr>
          <w:rFonts w:ascii="Tahoma" w:hAnsi="Tahoma" w:cs="Tahoma"/>
        </w:rPr>
      </w:pPr>
      <w:r>
        <w:rPr>
          <w:rFonts w:ascii="Tahoma" w:hAnsi="Tahoma" w:cs="Tahoma"/>
        </w:rPr>
        <w:t xml:space="preserve">Con l’entrata in vigore del presente Regolamento, si intendono abrogate le eventuali circolari e/o disposizioni regolamentari incompatibili e contrastanti. </w:t>
      </w:r>
    </w:p>
    <w:p>
      <w:pPr>
        <w:spacing w:after="0" w:line="259" w:lineRule="auto"/>
        <w:ind w:left="0" w:firstLine="0"/>
        <w:jc w:val="left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</w:p>
    <w:p>
      <w:pPr>
        <w:spacing w:after="0" w:line="259" w:lineRule="auto"/>
        <w:ind w:left="0" w:firstLine="0"/>
        <w:jc w:val="left"/>
        <w:rPr>
          <w:rFonts w:ascii="Tahoma" w:hAnsi="Tahoma" w:cs="Tahoma"/>
        </w:rPr>
      </w:pPr>
    </w:p>
    <w:sectPr>
      <w:pgSz w:w="11900" w:h="16840"/>
      <w:pgMar w:top="576" w:right="1129" w:bottom="1376" w:left="1133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9" w:lineRule="auto"/>
      </w:pPr>
      <w:r>
        <w:separator/>
      </w:r>
    </w:p>
  </w:footnote>
  <w:footnote w:type="continuationSeparator" w:id="1">
    <w:p>
      <w:pPr>
        <w:spacing w:before="0" w:after="0" w:line="24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68272A"/>
    <w:multiLevelType w:val="multilevel"/>
    <w:tmpl w:val="1068272A"/>
    <w:lvl w:ilvl="0" w:tentative="0">
      <w:start w:val="1"/>
      <w:numFmt w:val="decimal"/>
      <w:lvlText w:val="%1."/>
      <w:lvlJc w:val="left"/>
      <w:pPr>
        <w:ind w:left="329"/>
      </w:pPr>
      <w:rPr>
        <w:rFonts w:hint="default" w:ascii="Tahoma" w:hAnsi="Tahoma" w:eastAsia="Arial" w:cs="Tahoma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12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4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6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8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00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72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4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6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>
    <w:nsid w:val="20A93C88"/>
    <w:multiLevelType w:val="multilevel"/>
    <w:tmpl w:val="20A93C88"/>
    <w:lvl w:ilvl="0" w:tentative="0">
      <w:start w:val="1"/>
      <w:numFmt w:val="decimal"/>
      <w:lvlText w:val="%1."/>
      <w:lvlJc w:val="left"/>
      <w:pPr>
        <w:ind w:left="360"/>
      </w:pPr>
      <w:rPr>
        <w:rFonts w:hint="default" w:ascii="Tahoma" w:hAnsi="Tahoma" w:eastAsia="Arial" w:cs="Tahoma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9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1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3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5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7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9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1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3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">
    <w:nsid w:val="23A10437"/>
    <w:multiLevelType w:val="multilevel"/>
    <w:tmpl w:val="23A10437"/>
    <w:lvl w:ilvl="0" w:tentative="0">
      <w:start w:val="1"/>
      <w:numFmt w:val="decimal"/>
      <w:lvlText w:val="%1."/>
      <w:lvlJc w:val="left"/>
      <w:pPr>
        <w:ind w:left="370"/>
      </w:pPr>
      <w:rPr>
        <w:rFonts w:ascii="Tahoma" w:hAnsi="Tahoma" w:eastAsia="Arial" w:cs="Tahoma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10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2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4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6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8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70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2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4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">
    <w:nsid w:val="41E936FB"/>
    <w:multiLevelType w:val="multilevel"/>
    <w:tmpl w:val="41E936FB"/>
    <w:lvl w:ilvl="0" w:tentative="0">
      <w:start w:val="1"/>
      <w:numFmt w:val="decimal"/>
      <w:lvlText w:val="%1."/>
      <w:lvlJc w:val="left"/>
      <w:pPr>
        <w:ind w:left="370"/>
      </w:pPr>
      <w:rPr>
        <w:rFonts w:ascii="Tahoma" w:hAnsi="Tahoma" w:eastAsia="Arial" w:cs="Tahoma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92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">
    <w:nsid w:val="6AAA464D"/>
    <w:multiLevelType w:val="multilevel"/>
    <w:tmpl w:val="6AAA464D"/>
    <w:lvl w:ilvl="0" w:tentative="0">
      <w:start w:val="1"/>
      <w:numFmt w:val="decimal"/>
      <w:lvlText w:val="%1."/>
      <w:lvlJc w:val="left"/>
      <w:pPr>
        <w:ind w:left="329"/>
      </w:pPr>
      <w:rPr>
        <w:rFonts w:hint="default" w:ascii="Tahoma" w:hAnsi="Tahoma" w:eastAsia="Arial" w:cs="Tahoma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12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4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6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8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00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72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4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6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">
    <w:nsid w:val="6D7D89BF"/>
    <w:multiLevelType w:val="singleLevel"/>
    <w:tmpl w:val="6D7D89BF"/>
    <w:lvl w:ilvl="0" w:tentative="0">
      <w:start w:val="1"/>
      <w:numFmt w:val="decimal"/>
      <w:lvlText w:val="%1."/>
      <w:lvlJc w:val="left"/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A8E"/>
    <w:rsid w:val="0002631C"/>
    <w:rsid w:val="000638DC"/>
    <w:rsid w:val="00071160"/>
    <w:rsid w:val="00174425"/>
    <w:rsid w:val="001B6A0D"/>
    <w:rsid w:val="00426A58"/>
    <w:rsid w:val="005324AA"/>
    <w:rsid w:val="00547BF6"/>
    <w:rsid w:val="0066081E"/>
    <w:rsid w:val="007517D2"/>
    <w:rsid w:val="00886496"/>
    <w:rsid w:val="008A1CDC"/>
    <w:rsid w:val="008E74BB"/>
    <w:rsid w:val="008F22DC"/>
    <w:rsid w:val="00965B06"/>
    <w:rsid w:val="00A5589E"/>
    <w:rsid w:val="00AC7466"/>
    <w:rsid w:val="00B761F5"/>
    <w:rsid w:val="00BD5F9E"/>
    <w:rsid w:val="00BF4EFA"/>
    <w:rsid w:val="00C370B8"/>
    <w:rsid w:val="00CE1AAB"/>
    <w:rsid w:val="00D04EC2"/>
    <w:rsid w:val="00D953AA"/>
    <w:rsid w:val="00DE3A8E"/>
    <w:rsid w:val="00EA4954"/>
    <w:rsid w:val="0245529C"/>
    <w:rsid w:val="048A4A1E"/>
    <w:rsid w:val="09BA35A6"/>
    <w:rsid w:val="18617410"/>
    <w:rsid w:val="1A761922"/>
    <w:rsid w:val="1F0F237F"/>
    <w:rsid w:val="28733908"/>
    <w:rsid w:val="2BDD3602"/>
    <w:rsid w:val="2EAE40BC"/>
    <w:rsid w:val="35345A28"/>
    <w:rsid w:val="41FC4B1F"/>
    <w:rsid w:val="431A55DB"/>
    <w:rsid w:val="65247D2E"/>
    <w:rsid w:val="68FA7BAA"/>
    <w:rsid w:val="6AD33FF7"/>
    <w:rsid w:val="753A26E2"/>
    <w:rsid w:val="7E45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5" w:line="249" w:lineRule="auto"/>
      <w:ind w:left="730" w:hanging="370"/>
      <w:jc w:val="both"/>
    </w:pPr>
    <w:rPr>
      <w:rFonts w:ascii="Arial" w:hAnsi="Arial" w:eastAsia="Arial" w:cs="Arial"/>
      <w:color w:val="000000"/>
      <w:sz w:val="22"/>
      <w:szCs w:val="22"/>
      <w:lang w:val="it-IT" w:eastAsia="it-IT" w:bidi="ar-SA"/>
    </w:rPr>
  </w:style>
  <w:style w:type="paragraph" w:styleId="2">
    <w:name w:val="heading 1"/>
    <w:next w:val="1"/>
    <w:link w:val="5"/>
    <w:unhideWhenUsed/>
    <w:qFormat/>
    <w:uiPriority w:val="9"/>
    <w:pPr>
      <w:keepNext/>
      <w:keepLines/>
      <w:spacing w:after="21" w:line="259" w:lineRule="auto"/>
      <w:ind w:left="10" w:hanging="10"/>
      <w:outlineLvl w:val="0"/>
    </w:pPr>
    <w:rPr>
      <w:rFonts w:ascii="Arial" w:hAnsi="Arial" w:eastAsia="Arial" w:cs="Arial"/>
      <w:b/>
      <w:color w:val="000000"/>
      <w:sz w:val="22"/>
      <w:szCs w:val="22"/>
      <w:lang w:val="it-IT" w:eastAsia="it-IT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Titolo 1 Carattere"/>
    <w:link w:val="2"/>
    <w:uiPriority w:val="0"/>
    <w:rPr>
      <w:rFonts w:ascii="Arial" w:hAnsi="Arial" w:eastAsia="Arial" w:cs="Arial"/>
      <w:b/>
      <w:color w:val="000000"/>
      <w:sz w:val="22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paragraph" w:customStyle="1" w:styleId="7">
    <w:name w:val="t41"/>
    <w:basedOn w:val="1"/>
    <w:qFormat/>
    <w:uiPriority w:val="0"/>
    <w:pPr>
      <w:widowControl w:val="0"/>
      <w:spacing w:after="0" w:line="240" w:lineRule="atLeast"/>
      <w:ind w:left="0" w:firstLine="0"/>
      <w:jc w:val="left"/>
    </w:pPr>
    <w:rPr>
      <w:rFonts w:ascii="Times New Roman" w:hAnsi="Times New Roman" w:eastAsia="Times New Roman" w:cs="Times New Roman"/>
      <w:snapToGrid w:val="0"/>
      <w:color w:val="auto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1143</Words>
  <Characters>6519</Characters>
  <Lines>54</Lines>
  <Paragraphs>15</Paragraphs>
  <TotalTime>34</TotalTime>
  <ScaleCrop>false</ScaleCrop>
  <LinksUpToDate>false</LinksUpToDate>
  <CharactersWithSpaces>7647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2023-03-28T11:05:00Z</dcterms:created>
  <dc:creator>ced</dc:creator>
  <cp:lastModifiedBy>gferro</cp:lastModifiedBy>
  <cp:lastPrinted>2023-03-28T10:15:00Z</cp:lastPrinted>
  <dcterms:modified xsi:type="dcterms:W3CDTF">2023-12-04T16:04:13Z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1033-12.2.0.13306</vt:lpwstr>
  </property>
  <property fmtid="{D5CDD505-2E9C-101B-9397-08002B2CF9AE}" pid="3" name="ICV">
    <vt:lpwstr>93D62E7953F5423ABEC1D0BDDC977B5A_13</vt:lpwstr>
  </property>
</Properties>
</file>