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07D6CC">
      <w:r>
        <mc:AlternateContent>
          <mc:Choice Requires="wps">
            <w:drawing>
              <wp:anchor distT="0" distB="0" distL="114300" distR="114300" simplePos="0" relativeHeight="251659264" behindDoc="0" locked="0" layoutInCell="1" allowOverlap="1">
                <wp:simplePos x="0" y="0"/>
                <wp:positionH relativeFrom="column">
                  <wp:posOffset>968375</wp:posOffset>
                </wp:positionH>
                <wp:positionV relativeFrom="paragraph">
                  <wp:posOffset>-90170</wp:posOffset>
                </wp:positionV>
                <wp:extent cx="6335395" cy="1058545"/>
                <wp:effectExtent l="0" t="0" r="10160" b="28575"/>
                <wp:wrapNone/>
                <wp:docPr id="1" name="Casella di testo 1"/>
                <wp:cNvGraphicFramePr/>
                <a:graphic xmlns:a="http://schemas.openxmlformats.org/drawingml/2006/main">
                  <a:graphicData uri="http://schemas.microsoft.com/office/word/2010/wordprocessingShape">
                    <wps:wsp>
                      <wps:cNvSpPr/>
                      <wps:spPr>
                        <a:xfrm>
                          <a:off x="0" y="0"/>
                          <a:ext cx="6334920" cy="1058040"/>
                        </a:xfrm>
                        <a:prstGeom prst="rect">
                          <a:avLst/>
                        </a:prstGeom>
                        <a:solidFill>
                          <a:schemeClr val="lt1">
                            <a:alpha val="83000"/>
                          </a:schemeClr>
                        </a:solidFill>
                        <a:ln w="9360">
                          <a:solidFill>
                            <a:schemeClr val="accent1"/>
                          </a:solidFill>
                          <a:round/>
                        </a:ln>
                      </wps:spPr>
                      <wps:style>
                        <a:lnRef idx="0">
                          <a:srgbClr val="FFFFFF"/>
                        </a:lnRef>
                        <a:fillRef idx="0">
                          <a:srgbClr val="FFFFFF"/>
                        </a:fillRef>
                        <a:effectRef idx="0">
                          <a:srgbClr val="FFFFFF"/>
                        </a:effectRef>
                        <a:fontRef idx="minor"/>
                      </wps:style>
                      <wps:txbx>
                        <w:txbxContent>
                          <w:p w14:paraId="5D2E552C">
                            <w:pPr>
                              <w:pStyle w:val="342"/>
                              <w:rPr>
                                <w:rStyle w:val="46"/>
                              </w:rPr>
                            </w:pPr>
                            <w:r>
                              <w:rPr>
                                <w:rStyle w:val="46"/>
                              </w:rPr>
                              <w:t>Data Protection Impact Assessment</w:t>
                            </w:r>
                          </w:p>
                          <w:p w14:paraId="0407D6DE">
                            <w:pPr>
                              <w:pStyle w:val="342"/>
                              <w:spacing w:before="0" w:after="3"/>
                            </w:pPr>
                            <w:r>
                              <w:rPr>
                                <w:rStyle w:val="46"/>
                              </w:rPr>
                              <w:t>Videosorveglianza Urbana</w:t>
                            </w:r>
                          </w:p>
                        </w:txbxContent>
                      </wps:txbx>
                      <wps:bodyPr anchor="ctr">
                        <a:noAutofit/>
                      </wps:bodyPr>
                    </wps:wsp>
                  </a:graphicData>
                </a:graphic>
              </wp:anchor>
            </w:drawing>
          </mc:Choice>
          <mc:Fallback>
            <w:pict>
              <v:rect id="Casella di testo 1" o:spid="_x0000_s1026" o:spt="1" style="position:absolute;left:0pt;margin-left:76.25pt;margin-top:-7.1pt;height:83.35pt;width:498.85pt;z-index:251659264;v-text-anchor:middle;mso-width-relative:page;mso-height-relative:page;" fillcolor="#FFFFFF [3201]" filled="t" stroked="t" coordsize="21600,21600" o:gfxdata="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6Nt9YdcAAAAM&#10;AQAADwAAAAAAAAABACAAAAAiAAAAZHJzL2Rvd25yZXYueG1sUEsBAhQAFAAAAAgAh07iQGQFRs3k&#10;AQAA7QMAAA4AAAAAAAAAAQAgAAAAJgEAAGRycy9lMm9Eb2MueG1sUEsFBgAAAAAGAAYAWQEAAHwF&#10;AAAAAA==&#10;">
                <v:fill on="t" opacity="54394f" focussize="0,0"/>
                <v:stroke weight="0.737007874015748pt" color="#4472C4 [3204]" joinstyle="round"/>
                <v:imagedata o:title=""/>
                <o:lock v:ext="edit" aspectratio="f"/>
                <v:textbox>
                  <w:txbxContent>
                    <w:p w14:paraId="5D2E552C">
                      <w:pPr>
                        <w:pStyle w:val="342"/>
                        <w:rPr>
                          <w:rStyle w:val="46"/>
                        </w:rPr>
                      </w:pPr>
                      <w:r>
                        <w:rPr>
                          <w:rStyle w:val="46"/>
                        </w:rPr>
                        <w:t>Data Protection Impact Assessment</w:t>
                      </w:r>
                    </w:p>
                    <w:p w14:paraId="0407D6DE">
                      <w:pPr>
                        <w:pStyle w:val="342"/>
                        <w:spacing w:before="0" w:after="3"/>
                      </w:pPr>
                      <w:r>
                        <w:rPr>
                          <w:rStyle w:val="46"/>
                        </w:rPr>
                        <w:t>Videosorveglianza Urbana</w:t>
                      </w:r>
                    </w:p>
                  </w:txbxContent>
                </v:textbox>
              </v:rect>
            </w:pict>
          </mc:Fallback>
        </mc:AlternateContent>
      </w:r>
      <w:r>
        <w:drawing>
          <wp:anchor distT="0" distB="0" distL="114300" distR="117475" simplePos="0" relativeHeight="251659264" behindDoc="1" locked="0" layoutInCell="1" allowOverlap="1">
            <wp:simplePos x="0" y="0"/>
            <wp:positionH relativeFrom="page">
              <wp:align>left</wp:align>
            </wp:positionH>
            <wp:positionV relativeFrom="page">
              <wp:posOffset>0</wp:posOffset>
            </wp:positionV>
            <wp:extent cx="7560310" cy="7012940"/>
            <wp:effectExtent l="0" t="0" r="0" b="0"/>
            <wp:wrapNone/>
            <wp:docPr id="3"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5"/>
                    <pic:cNvPicPr>
                      <a:picLocks noChangeAspect="1" noChangeArrowheads="1"/>
                    </pic:cNvPicPr>
                  </pic:nvPicPr>
                  <pic:blipFill>
                    <a:blip r:embed="rId14"/>
                    <a:stretch>
                      <a:fillRect/>
                    </a:stretch>
                  </pic:blipFill>
                  <pic:spPr>
                    <a:xfrm>
                      <a:off x="0" y="0"/>
                      <a:ext cx="7560310" cy="7012940"/>
                    </a:xfrm>
                    <a:prstGeom prst="rect">
                      <a:avLst/>
                    </a:prstGeom>
                  </pic:spPr>
                </pic:pic>
              </a:graphicData>
            </a:graphic>
          </wp:anchor>
        </w:drawing>
      </w:r>
    </w:p>
    <w:p w14:paraId="1F72319C"/>
    <w:p w14:paraId="42A39A52"/>
    <w:p w14:paraId="09A069DF"/>
    <w:p w14:paraId="076C11D8"/>
    <w:p w14:paraId="096B12C6"/>
    <w:p w14:paraId="4E384C51"/>
    <w:p w14:paraId="28650712"/>
    <w:p w14:paraId="336F12D0"/>
    <w:p w14:paraId="0278EEC5"/>
    <w:p w14:paraId="3EDF4D1E"/>
    <w:p w14:paraId="259E3321"/>
    <w:p w14:paraId="3CFEC943"/>
    <w:p w14:paraId="73CDCBEE"/>
    <w:p w14:paraId="50F33F45"/>
    <w:p w14:paraId="39D10800"/>
    <w:p w14:paraId="18B9B45B"/>
    <w:p w14:paraId="22405052"/>
    <w:p w14:paraId="6F8AB8F1"/>
    <w:p w14:paraId="1CF4C38D"/>
    <w:p w14:paraId="3D67A40A"/>
    <w:p w14:paraId="53D2ACFF"/>
    <w:p w14:paraId="17D1081B"/>
    <w:p w14:paraId="702ACCD7"/>
    <w:p w14:paraId="5150B7AD">
      <w:pPr>
        <w:rPr>
          <w:rStyle w:val="46"/>
        </w:rPr>
      </w:pPr>
      <w:r>
        <w:rPr>
          <w:rStyle w:val="46"/>
        </w:rPr>
        <w:t>COMUNE DI INDUNO OLONA</w:t>
      </w:r>
    </w:p>
    <w:p w14:paraId="1D0788AC"/>
    <w:p w14:paraId="268DB640">
      <w:pPr>
        <w:rPr>
          <w:rStyle w:val="46"/>
          <w:smallCaps/>
          <w:sz w:val="40"/>
          <w:szCs w:val="40"/>
        </w:rPr>
      </w:pPr>
      <w:r>
        <w:rPr>
          <w:rStyle w:val="46"/>
          <w:sz w:val="40"/>
          <w:szCs w:val="40"/>
        </w:rPr>
        <w:t>Telecamere di contesto, Telecamere di lettura targhe, Dashcam</w:t>
      </w:r>
    </w:p>
    <w:p w14:paraId="44A20AF4">
      <w:r>
        <w:br w:type="page"/>
      </w:r>
    </w:p>
    <w:p w14:paraId="1EAEAD26">
      <w:r>
        <w:t>REVISIONE DEL DOCUMENTO</w:t>
      </w:r>
    </w:p>
    <w:p w14:paraId="4501E231"/>
    <w:p w14:paraId="6713E409"/>
    <w:tbl>
      <w:tblPr>
        <w:tblStyle w:val="20"/>
        <w:tblW w:w="94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8" w:type="dxa"/>
          <w:bottom w:w="0" w:type="dxa"/>
          <w:right w:w="108" w:type="dxa"/>
        </w:tblCellMar>
      </w:tblPr>
      <w:tblGrid>
        <w:gridCol w:w="1843"/>
        <w:gridCol w:w="3060"/>
        <w:gridCol w:w="2292"/>
        <w:gridCol w:w="2209"/>
      </w:tblGrid>
      <w:tr w14:paraId="48065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8" w:type="dxa"/>
            <w:bottom w:w="0" w:type="dxa"/>
            <w:right w:w="108" w:type="dxa"/>
          </w:tblCellMar>
        </w:tblPrEx>
        <w:trPr>
          <w:trHeight w:val="567" w:hRule="atLeast"/>
        </w:trPr>
        <w:tc>
          <w:tcPr>
            <w:tcW w:w="1843" w:type="dxa"/>
            <w:tcBorders>
              <w:top w:val="nil"/>
              <w:left w:val="nil"/>
              <w:bottom w:val="single" w:color="D8D8D8" w:sz="2" w:space="0"/>
              <w:right w:val="single" w:color="D8D8D8" w:sz="2" w:space="0"/>
              <w:insideH w:val="single" w:sz="2" w:space="0"/>
              <w:insideV w:val="single" w:sz="2" w:space="0"/>
            </w:tcBorders>
            <w:shd w:val="clear" w:color="auto" w:fill="auto"/>
            <w:vAlign w:val="center"/>
          </w:tcPr>
          <w:p w14:paraId="5E5373E5">
            <w:pPr>
              <w:widowControl/>
              <w:bidi w:val="0"/>
              <w:spacing w:before="0" w:after="3" w:line="360" w:lineRule="auto"/>
              <w:ind w:right="-1" w:firstLine="0"/>
              <w:jc w:val="both"/>
            </w:pPr>
          </w:p>
        </w:tc>
        <w:tc>
          <w:tcPr>
            <w:tcW w:w="3060" w:type="dxa"/>
            <w:tcBorders>
              <w:top w:val="single" w:color="D8D8D8" w:sz="2" w:space="0"/>
              <w:left w:val="single" w:color="D8D8D8" w:sz="2" w:space="0"/>
              <w:bottom w:val="single" w:color="D8D8D8" w:sz="2" w:space="0"/>
              <w:right w:val="single" w:color="D8D8D8" w:sz="2" w:space="0"/>
              <w:insideH w:val="single" w:sz="2" w:space="0"/>
              <w:insideV w:val="single" w:sz="2" w:space="0"/>
            </w:tcBorders>
            <w:shd w:val="clear" w:color="auto" w:fill="9CC2E5" w:themeFill="accent5" w:themeFillTint="99"/>
            <w:vAlign w:val="center"/>
          </w:tcPr>
          <w:p w14:paraId="1CA150B3">
            <w:pPr>
              <w:widowControl/>
              <w:bidi w:val="0"/>
              <w:spacing w:before="0" w:after="3" w:line="360" w:lineRule="auto"/>
              <w:ind w:right="-1" w:firstLine="0"/>
              <w:jc w:val="both"/>
            </w:pPr>
            <w:r>
              <w:t>Ruolo</w:t>
            </w:r>
          </w:p>
        </w:tc>
        <w:tc>
          <w:tcPr>
            <w:tcW w:w="2292" w:type="dxa"/>
            <w:tcBorders>
              <w:top w:val="single" w:color="D8D8D8" w:sz="2" w:space="0"/>
              <w:left w:val="single" w:color="D8D8D8" w:sz="2" w:space="0"/>
              <w:bottom w:val="single" w:color="D8D8D8" w:sz="2" w:space="0"/>
              <w:right w:val="single" w:color="D8D8D8" w:sz="2" w:space="0"/>
              <w:insideH w:val="single" w:sz="2" w:space="0"/>
              <w:insideV w:val="single" w:sz="2" w:space="0"/>
            </w:tcBorders>
            <w:shd w:val="clear" w:color="auto" w:fill="9CC2E5" w:themeFill="accent5" w:themeFillTint="99"/>
            <w:vAlign w:val="center"/>
          </w:tcPr>
          <w:p w14:paraId="09F13F35">
            <w:pPr>
              <w:widowControl/>
              <w:bidi w:val="0"/>
              <w:spacing w:before="0" w:after="3" w:line="360" w:lineRule="auto"/>
              <w:ind w:right="-1" w:firstLine="0"/>
              <w:jc w:val="both"/>
            </w:pPr>
            <w:r>
              <w:t>Nominativo</w:t>
            </w:r>
          </w:p>
        </w:tc>
        <w:tc>
          <w:tcPr>
            <w:tcW w:w="2208" w:type="dxa"/>
            <w:tcBorders>
              <w:top w:val="single" w:color="D8D8D8" w:sz="2" w:space="0"/>
              <w:left w:val="single" w:color="D8D8D8" w:sz="2" w:space="0"/>
              <w:bottom w:val="single" w:color="D8D8D8" w:sz="2" w:space="0"/>
              <w:right w:val="single" w:color="D8D8D8" w:sz="2" w:space="0"/>
              <w:insideH w:val="single" w:sz="2" w:space="0"/>
              <w:insideV w:val="single" w:sz="2" w:space="0"/>
            </w:tcBorders>
            <w:shd w:val="clear" w:color="auto" w:fill="9CC2E5" w:themeFill="accent5" w:themeFillTint="99"/>
            <w:vAlign w:val="center"/>
          </w:tcPr>
          <w:p w14:paraId="794900D1">
            <w:pPr>
              <w:widowControl/>
              <w:bidi w:val="0"/>
              <w:spacing w:before="0" w:after="3" w:line="360" w:lineRule="auto"/>
              <w:ind w:right="-1" w:firstLine="0"/>
              <w:jc w:val="both"/>
            </w:pPr>
            <w:r>
              <w:t>Data</w:t>
            </w:r>
          </w:p>
        </w:tc>
      </w:tr>
      <w:tr w14:paraId="0F184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8" w:type="dxa"/>
            <w:bottom w:w="0" w:type="dxa"/>
            <w:right w:w="108" w:type="dxa"/>
          </w:tblCellMar>
        </w:tblPrEx>
        <w:trPr>
          <w:trHeight w:val="567" w:hRule="atLeast"/>
        </w:trPr>
        <w:tc>
          <w:tcPr>
            <w:tcW w:w="1843" w:type="dxa"/>
            <w:tcBorders>
              <w:top w:val="single" w:color="D8D8D8" w:sz="2" w:space="0"/>
              <w:left w:val="single" w:color="D8D8D8" w:sz="2" w:space="0"/>
              <w:bottom w:val="single" w:color="D8D8D8" w:sz="2" w:space="0"/>
              <w:right w:val="single" w:color="D8D8D8" w:sz="2" w:space="0"/>
              <w:insideH w:val="single" w:sz="2" w:space="0"/>
              <w:insideV w:val="single" w:sz="2" w:space="0"/>
            </w:tcBorders>
            <w:shd w:val="clear" w:color="auto" w:fill="auto"/>
            <w:vAlign w:val="center"/>
          </w:tcPr>
          <w:p w14:paraId="5F3AE454">
            <w:pPr>
              <w:widowControl/>
              <w:bidi w:val="0"/>
              <w:spacing w:before="0" w:after="3" w:line="360" w:lineRule="auto"/>
              <w:ind w:right="-1" w:firstLine="0"/>
              <w:jc w:val="both"/>
            </w:pPr>
            <w:r>
              <w:t>Autori</w:t>
            </w:r>
          </w:p>
        </w:tc>
        <w:tc>
          <w:tcPr>
            <w:tcW w:w="3060" w:type="dxa"/>
            <w:tcBorders>
              <w:top w:val="single" w:color="D8D8D8" w:sz="2" w:space="0"/>
              <w:left w:val="single" w:color="D8D8D8" w:sz="2" w:space="0"/>
              <w:bottom w:val="single" w:color="D8D8D8" w:sz="2" w:space="0"/>
              <w:right w:val="single" w:color="D8D8D8" w:sz="2" w:space="0"/>
              <w:insideH w:val="single" w:sz="2" w:space="0"/>
              <w:insideV w:val="single" w:sz="2" w:space="0"/>
            </w:tcBorders>
            <w:shd w:val="clear" w:color="auto" w:fill="auto"/>
            <w:vAlign w:val="center"/>
          </w:tcPr>
          <w:p w14:paraId="6E651E31">
            <w:pPr>
              <w:widowControl/>
              <w:bidi w:val="0"/>
              <w:spacing w:before="0" w:after="3" w:line="360" w:lineRule="auto"/>
              <w:ind w:right="-1" w:firstLine="0"/>
              <w:jc w:val="both"/>
            </w:pPr>
            <w:r>
              <w:t>Responsabile Ufficio di Polizia Locale</w:t>
            </w:r>
          </w:p>
        </w:tc>
        <w:tc>
          <w:tcPr>
            <w:tcW w:w="2292" w:type="dxa"/>
            <w:tcBorders>
              <w:top w:val="single" w:color="D8D8D8" w:sz="2" w:space="0"/>
              <w:left w:val="single" w:color="D8D8D8" w:sz="2" w:space="0"/>
              <w:bottom w:val="single" w:color="D8D8D8" w:sz="2" w:space="0"/>
              <w:right w:val="single" w:color="D8D8D8" w:sz="2" w:space="0"/>
              <w:insideH w:val="single" w:sz="2" w:space="0"/>
              <w:insideV w:val="single" w:sz="2" w:space="0"/>
            </w:tcBorders>
            <w:shd w:val="clear" w:color="auto" w:fill="auto"/>
            <w:vAlign w:val="center"/>
          </w:tcPr>
          <w:p w14:paraId="49519601">
            <w:pPr>
              <w:widowControl/>
              <w:bidi w:val="0"/>
              <w:spacing w:before="0" w:after="3" w:line="360" w:lineRule="auto"/>
              <w:ind w:right="-1" w:firstLine="0"/>
              <w:jc w:val="both"/>
            </w:pPr>
            <w:r>
              <w:t>Com.te P.L. Dott. Gabriele Ferro</w:t>
            </w:r>
          </w:p>
        </w:tc>
        <w:tc>
          <w:tcPr>
            <w:tcW w:w="2208" w:type="dxa"/>
            <w:tcBorders>
              <w:top w:val="single" w:color="D8D8D8" w:sz="2" w:space="0"/>
              <w:left w:val="single" w:color="D8D8D8" w:sz="2" w:space="0"/>
              <w:bottom w:val="single" w:color="D8D8D8" w:sz="2" w:space="0"/>
              <w:right w:val="single" w:color="D8D8D8" w:sz="2" w:space="0"/>
              <w:insideH w:val="single" w:sz="2" w:space="0"/>
              <w:insideV w:val="single" w:sz="2" w:space="0"/>
            </w:tcBorders>
            <w:shd w:val="clear" w:color="auto" w:fill="auto"/>
            <w:vAlign w:val="center"/>
          </w:tcPr>
          <w:p w14:paraId="6083207D">
            <w:pPr>
              <w:widowControl/>
              <w:bidi w:val="0"/>
              <w:spacing w:before="0" w:after="3" w:line="360" w:lineRule="auto"/>
              <w:ind w:right="-1" w:firstLine="0"/>
              <w:jc w:val="both"/>
            </w:pPr>
          </w:p>
        </w:tc>
      </w:tr>
      <w:tr w14:paraId="7D813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8" w:type="dxa"/>
            <w:bottom w:w="0" w:type="dxa"/>
            <w:right w:w="108" w:type="dxa"/>
          </w:tblCellMar>
        </w:tblPrEx>
        <w:trPr>
          <w:trHeight w:val="567" w:hRule="atLeast"/>
        </w:trPr>
        <w:tc>
          <w:tcPr>
            <w:tcW w:w="1843" w:type="dxa"/>
            <w:tcBorders>
              <w:top w:val="single" w:color="D8D8D8" w:sz="2" w:space="0"/>
              <w:left w:val="single" w:color="D8D8D8" w:sz="2" w:space="0"/>
              <w:bottom w:val="single" w:color="D8D8D8" w:sz="2" w:space="0"/>
              <w:right w:val="single" w:color="D8D8D8" w:sz="2" w:space="0"/>
              <w:insideH w:val="single" w:sz="2" w:space="0"/>
              <w:insideV w:val="single" w:sz="2" w:space="0"/>
            </w:tcBorders>
            <w:shd w:val="clear" w:color="auto" w:fill="auto"/>
            <w:vAlign w:val="center"/>
          </w:tcPr>
          <w:p w14:paraId="42421601">
            <w:pPr>
              <w:widowControl/>
              <w:bidi w:val="0"/>
              <w:spacing w:before="0" w:after="3" w:line="360" w:lineRule="auto"/>
              <w:ind w:right="-1" w:firstLine="0"/>
              <w:jc w:val="both"/>
            </w:pPr>
            <w:r>
              <w:t>Revisore</w:t>
            </w:r>
          </w:p>
        </w:tc>
        <w:tc>
          <w:tcPr>
            <w:tcW w:w="3060" w:type="dxa"/>
            <w:tcBorders>
              <w:top w:val="single" w:color="D8D8D8" w:sz="2" w:space="0"/>
              <w:left w:val="single" w:color="D8D8D8" w:sz="2" w:space="0"/>
              <w:bottom w:val="single" w:color="D8D8D8" w:sz="2" w:space="0"/>
              <w:right w:val="single" w:color="D8D8D8" w:sz="2" w:space="0"/>
              <w:insideH w:val="single" w:sz="2" w:space="0"/>
              <w:insideV w:val="single" w:sz="2" w:space="0"/>
            </w:tcBorders>
            <w:shd w:val="clear" w:color="auto" w:fill="auto"/>
            <w:vAlign w:val="center"/>
          </w:tcPr>
          <w:p w14:paraId="4285A640">
            <w:pPr>
              <w:widowControl/>
              <w:bidi w:val="0"/>
              <w:spacing w:before="0" w:after="3" w:line="360" w:lineRule="auto"/>
              <w:ind w:right="-1" w:firstLine="0"/>
              <w:jc w:val="both"/>
            </w:pPr>
            <w:r>
              <w:t>Data Protection Officer</w:t>
            </w:r>
          </w:p>
        </w:tc>
        <w:tc>
          <w:tcPr>
            <w:tcW w:w="2292" w:type="dxa"/>
            <w:tcBorders>
              <w:top w:val="single" w:color="D8D8D8" w:sz="2" w:space="0"/>
              <w:left w:val="single" w:color="D8D8D8" w:sz="2" w:space="0"/>
              <w:bottom w:val="single" w:color="D8D8D8" w:sz="2" w:space="0"/>
              <w:right w:val="single" w:color="D8D8D8" w:sz="2" w:space="0"/>
              <w:insideH w:val="single" w:sz="2" w:space="0"/>
              <w:insideV w:val="single" w:sz="2" w:space="0"/>
            </w:tcBorders>
            <w:shd w:val="clear" w:color="auto" w:fill="auto"/>
            <w:vAlign w:val="center"/>
          </w:tcPr>
          <w:p w14:paraId="7ED776A5">
            <w:pPr>
              <w:widowControl/>
              <w:bidi w:val="0"/>
              <w:spacing w:before="0" w:after="3" w:line="360" w:lineRule="auto"/>
              <w:ind w:right="-1" w:firstLine="0"/>
              <w:jc w:val="both"/>
            </w:pPr>
            <w:r>
              <w:t>Sistema Susio s.r.l., referente per il titolare: dott. Ing. Emanuele Barbagallo</w:t>
            </w:r>
          </w:p>
        </w:tc>
        <w:tc>
          <w:tcPr>
            <w:tcW w:w="2208" w:type="dxa"/>
            <w:tcBorders>
              <w:top w:val="single" w:color="D8D8D8" w:sz="2" w:space="0"/>
              <w:left w:val="single" w:color="D8D8D8" w:sz="2" w:space="0"/>
              <w:bottom w:val="single" w:color="D8D8D8" w:sz="2" w:space="0"/>
              <w:right w:val="single" w:color="D8D8D8" w:sz="2" w:space="0"/>
              <w:insideH w:val="single" w:sz="2" w:space="0"/>
              <w:insideV w:val="single" w:sz="2" w:space="0"/>
            </w:tcBorders>
            <w:shd w:val="clear" w:color="auto" w:fill="auto"/>
            <w:vAlign w:val="center"/>
          </w:tcPr>
          <w:p w14:paraId="2988F109">
            <w:pPr>
              <w:widowControl/>
              <w:bidi w:val="0"/>
              <w:spacing w:before="0" w:after="3" w:line="360" w:lineRule="auto"/>
              <w:ind w:right="-1" w:firstLine="0"/>
              <w:jc w:val="both"/>
            </w:pPr>
          </w:p>
        </w:tc>
      </w:tr>
      <w:tr w14:paraId="5F806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8" w:type="dxa"/>
            <w:bottom w:w="0" w:type="dxa"/>
            <w:right w:w="108" w:type="dxa"/>
          </w:tblCellMar>
        </w:tblPrEx>
        <w:trPr>
          <w:trHeight w:val="567" w:hRule="atLeast"/>
        </w:trPr>
        <w:tc>
          <w:tcPr>
            <w:tcW w:w="1843" w:type="dxa"/>
            <w:tcBorders>
              <w:top w:val="single" w:color="D8D8D8" w:sz="2" w:space="0"/>
              <w:left w:val="single" w:color="D8D8D8" w:sz="2" w:space="0"/>
              <w:bottom w:val="single" w:color="D8D8D8" w:sz="2" w:space="0"/>
              <w:right w:val="single" w:color="D8D8D8" w:sz="2" w:space="0"/>
              <w:insideH w:val="single" w:sz="2" w:space="0"/>
              <w:insideV w:val="single" w:sz="2" w:space="0"/>
            </w:tcBorders>
            <w:shd w:val="clear" w:color="auto" w:fill="auto"/>
            <w:vAlign w:val="center"/>
          </w:tcPr>
          <w:p w14:paraId="4E781EC6">
            <w:pPr>
              <w:widowControl/>
              <w:bidi w:val="0"/>
              <w:spacing w:before="0" w:after="3" w:line="360" w:lineRule="auto"/>
              <w:ind w:right="-1" w:firstLine="0"/>
              <w:jc w:val="both"/>
            </w:pPr>
            <w:r>
              <w:t>Validato</w:t>
            </w:r>
          </w:p>
        </w:tc>
        <w:tc>
          <w:tcPr>
            <w:tcW w:w="3060" w:type="dxa"/>
            <w:tcBorders>
              <w:top w:val="single" w:color="D8D8D8" w:sz="2" w:space="0"/>
              <w:left w:val="single" w:color="D8D8D8" w:sz="2" w:space="0"/>
              <w:bottom w:val="single" w:color="D8D8D8" w:sz="2" w:space="0"/>
              <w:right w:val="single" w:color="D8D8D8" w:sz="2" w:space="0"/>
              <w:insideH w:val="single" w:sz="2" w:space="0"/>
              <w:insideV w:val="single" w:sz="2" w:space="0"/>
            </w:tcBorders>
            <w:shd w:val="clear" w:color="auto" w:fill="auto"/>
            <w:vAlign w:val="center"/>
          </w:tcPr>
          <w:p w14:paraId="46E2669D">
            <w:pPr>
              <w:widowControl/>
              <w:bidi w:val="0"/>
              <w:spacing w:before="0" w:after="3" w:line="360" w:lineRule="auto"/>
              <w:ind w:right="-1" w:firstLine="0"/>
              <w:jc w:val="both"/>
            </w:pPr>
            <w:r>
              <w:t>Rappresentante del titolare</w:t>
            </w:r>
          </w:p>
        </w:tc>
        <w:tc>
          <w:tcPr>
            <w:tcW w:w="2292" w:type="dxa"/>
            <w:tcBorders>
              <w:top w:val="single" w:color="D8D8D8" w:sz="2" w:space="0"/>
              <w:left w:val="single" w:color="D8D8D8" w:sz="2" w:space="0"/>
              <w:bottom w:val="single" w:color="D8D8D8" w:sz="2" w:space="0"/>
              <w:right w:val="single" w:color="D8D8D8" w:sz="2" w:space="0"/>
              <w:insideH w:val="single" w:sz="2" w:space="0"/>
              <w:insideV w:val="single" w:sz="2" w:space="0"/>
            </w:tcBorders>
            <w:shd w:val="clear" w:color="auto" w:fill="auto"/>
            <w:vAlign w:val="center"/>
          </w:tcPr>
          <w:p w14:paraId="0EA59ED7">
            <w:pPr>
              <w:widowControl/>
              <w:bidi w:val="0"/>
              <w:spacing w:before="0" w:after="3" w:line="360" w:lineRule="auto"/>
              <w:ind w:right="-1" w:firstLine="0"/>
              <w:jc w:val="both"/>
            </w:pPr>
            <w:r>
              <w:t>Sindaco, Ing. Giorgio Castelli</w:t>
            </w:r>
          </w:p>
        </w:tc>
        <w:tc>
          <w:tcPr>
            <w:tcW w:w="2208" w:type="dxa"/>
            <w:tcBorders>
              <w:top w:val="single" w:color="D8D8D8" w:sz="2" w:space="0"/>
              <w:left w:val="single" w:color="D8D8D8" w:sz="2" w:space="0"/>
              <w:bottom w:val="single" w:color="D8D8D8" w:sz="2" w:space="0"/>
              <w:right w:val="single" w:color="D8D8D8" w:sz="2" w:space="0"/>
              <w:insideH w:val="single" w:sz="2" w:space="0"/>
              <w:insideV w:val="single" w:sz="2" w:space="0"/>
            </w:tcBorders>
            <w:shd w:val="clear" w:color="auto" w:fill="auto"/>
            <w:vAlign w:val="center"/>
          </w:tcPr>
          <w:p w14:paraId="1A1D0C1B">
            <w:pPr>
              <w:widowControl/>
              <w:bidi w:val="0"/>
              <w:spacing w:before="0" w:after="3" w:line="360" w:lineRule="auto"/>
              <w:ind w:right="-1" w:firstLine="0"/>
              <w:jc w:val="both"/>
            </w:pPr>
          </w:p>
        </w:tc>
      </w:tr>
    </w:tbl>
    <w:p w14:paraId="0E65683F"/>
    <w:p w14:paraId="0BD3A736"/>
    <w:p w14:paraId="3B8C38BC">
      <w:r>
        <w:t>Elenco delle Revisioni</w:t>
      </w:r>
    </w:p>
    <w:p w14:paraId="43E2C9CE"/>
    <w:tbl>
      <w:tblPr>
        <w:tblStyle w:val="20"/>
        <w:tblW w:w="90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08" w:type="dxa"/>
        </w:tblCellMar>
      </w:tblPr>
      <w:tblGrid>
        <w:gridCol w:w="1475"/>
        <w:gridCol w:w="2069"/>
        <w:gridCol w:w="5483"/>
      </w:tblGrid>
      <w:tr w14:paraId="16D30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08" w:type="dxa"/>
          </w:tblCellMar>
        </w:tblPrEx>
        <w:trPr>
          <w:trHeight w:val="426" w:hRule="atLeast"/>
        </w:trPr>
        <w:tc>
          <w:tcPr>
            <w:tcW w:w="1475" w:type="dxa"/>
            <w:tcBorders>
              <w:top w:val="single" w:color="D8D8D8" w:sz="2" w:space="0"/>
              <w:left w:val="nil"/>
              <w:bottom w:val="single" w:color="D8D8D8" w:sz="2" w:space="0"/>
              <w:right w:val="nil"/>
              <w:insideH w:val="single" w:sz="2" w:space="0"/>
              <w:insideV w:val="nil"/>
            </w:tcBorders>
            <w:shd w:val="clear" w:color="auto" w:fill="auto"/>
            <w:vAlign w:val="center"/>
          </w:tcPr>
          <w:p w14:paraId="2EAD5D00">
            <w:pPr>
              <w:widowControl/>
              <w:bidi w:val="0"/>
              <w:spacing w:before="0" w:after="3" w:line="360" w:lineRule="auto"/>
              <w:ind w:right="-1" w:firstLine="0"/>
              <w:jc w:val="both"/>
            </w:pPr>
            <w:r>
              <w:t>Versione</w:t>
            </w:r>
          </w:p>
        </w:tc>
        <w:tc>
          <w:tcPr>
            <w:tcW w:w="2069" w:type="dxa"/>
            <w:tcBorders>
              <w:top w:val="single" w:color="D8D8D8" w:sz="2" w:space="0"/>
              <w:left w:val="nil"/>
              <w:bottom w:val="single" w:color="D8D8D8" w:sz="2" w:space="0"/>
              <w:right w:val="nil"/>
              <w:insideH w:val="single" w:sz="2" w:space="0"/>
              <w:insideV w:val="nil"/>
            </w:tcBorders>
            <w:shd w:val="clear" w:color="auto" w:fill="auto"/>
            <w:vAlign w:val="center"/>
          </w:tcPr>
          <w:p w14:paraId="6E17570A">
            <w:pPr>
              <w:widowControl/>
              <w:bidi w:val="0"/>
              <w:spacing w:before="0" w:after="3" w:line="360" w:lineRule="auto"/>
              <w:ind w:right="-1" w:firstLine="0"/>
              <w:jc w:val="both"/>
            </w:pPr>
            <w:r>
              <w:t>Data emissione</w:t>
            </w:r>
          </w:p>
        </w:tc>
        <w:tc>
          <w:tcPr>
            <w:tcW w:w="5483" w:type="dxa"/>
            <w:tcBorders>
              <w:top w:val="single" w:color="D8D8D8" w:sz="2" w:space="0"/>
              <w:left w:val="nil"/>
              <w:bottom w:val="single" w:color="D8D8D8" w:sz="2" w:space="0"/>
              <w:right w:val="nil"/>
              <w:insideH w:val="single" w:sz="2" w:space="0"/>
              <w:insideV w:val="nil"/>
            </w:tcBorders>
            <w:shd w:val="clear" w:color="auto" w:fill="auto"/>
            <w:vAlign w:val="center"/>
          </w:tcPr>
          <w:p w14:paraId="736B70DE">
            <w:pPr>
              <w:widowControl/>
              <w:bidi w:val="0"/>
              <w:spacing w:before="0" w:after="3" w:line="360" w:lineRule="auto"/>
              <w:ind w:right="-1" w:firstLine="0"/>
              <w:jc w:val="both"/>
            </w:pPr>
            <w:r>
              <w:t>Sintesi</w:t>
            </w:r>
          </w:p>
        </w:tc>
      </w:tr>
      <w:tr w14:paraId="40614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08" w:type="dxa"/>
          </w:tblCellMar>
        </w:tblPrEx>
        <w:trPr>
          <w:trHeight w:val="406" w:hRule="atLeast"/>
        </w:trPr>
        <w:tc>
          <w:tcPr>
            <w:tcW w:w="1475" w:type="dxa"/>
            <w:tcBorders>
              <w:top w:val="single" w:color="D8D8D8" w:sz="2" w:space="0"/>
              <w:left w:val="nil"/>
              <w:bottom w:val="single" w:color="D8D8D8" w:sz="2" w:space="0"/>
              <w:right w:val="nil"/>
              <w:insideH w:val="single" w:sz="2" w:space="0"/>
              <w:insideV w:val="nil"/>
            </w:tcBorders>
            <w:shd w:val="clear" w:color="auto" w:fill="auto"/>
            <w:vAlign w:val="center"/>
          </w:tcPr>
          <w:p w14:paraId="1D85A7B5">
            <w:pPr>
              <w:widowControl/>
              <w:bidi w:val="0"/>
              <w:spacing w:before="0" w:after="3" w:line="360" w:lineRule="auto"/>
              <w:ind w:right="-1" w:firstLine="0"/>
              <w:jc w:val="both"/>
            </w:pPr>
            <w:r>
              <w:t>Rev 1.0</w:t>
            </w:r>
          </w:p>
        </w:tc>
        <w:tc>
          <w:tcPr>
            <w:tcW w:w="2069" w:type="dxa"/>
            <w:tcBorders>
              <w:top w:val="single" w:color="D8D8D8" w:sz="2" w:space="0"/>
              <w:left w:val="nil"/>
              <w:bottom w:val="single" w:color="D8D8D8" w:sz="2" w:space="0"/>
              <w:right w:val="nil"/>
              <w:insideH w:val="single" w:sz="2" w:space="0"/>
              <w:insideV w:val="nil"/>
            </w:tcBorders>
            <w:shd w:val="clear" w:color="auto" w:fill="auto"/>
            <w:vAlign w:val="center"/>
          </w:tcPr>
          <w:p w14:paraId="40DEDA6E">
            <w:pPr>
              <w:widowControl/>
              <w:bidi w:val="0"/>
              <w:spacing w:before="0" w:after="3" w:line="360" w:lineRule="auto"/>
              <w:ind w:right="-1" w:firstLine="0"/>
              <w:jc w:val="both"/>
            </w:pPr>
          </w:p>
        </w:tc>
        <w:tc>
          <w:tcPr>
            <w:tcW w:w="5483" w:type="dxa"/>
            <w:tcBorders>
              <w:top w:val="single" w:color="D8D8D8" w:sz="2" w:space="0"/>
              <w:left w:val="nil"/>
              <w:bottom w:val="single" w:color="D8D8D8" w:sz="2" w:space="0"/>
              <w:right w:val="nil"/>
              <w:insideH w:val="single" w:sz="2" w:space="0"/>
              <w:insideV w:val="nil"/>
            </w:tcBorders>
            <w:shd w:val="clear" w:color="auto" w:fill="auto"/>
            <w:vAlign w:val="center"/>
          </w:tcPr>
          <w:p w14:paraId="464B1214">
            <w:pPr>
              <w:widowControl/>
              <w:bidi w:val="0"/>
              <w:spacing w:before="0" w:after="3" w:line="360" w:lineRule="auto"/>
              <w:ind w:right="-1" w:firstLine="0"/>
              <w:jc w:val="both"/>
            </w:pPr>
          </w:p>
        </w:tc>
      </w:tr>
      <w:tr w14:paraId="2C2F0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08" w:type="dxa"/>
          </w:tblCellMar>
        </w:tblPrEx>
        <w:trPr>
          <w:trHeight w:val="406" w:hRule="atLeast"/>
        </w:trPr>
        <w:tc>
          <w:tcPr>
            <w:tcW w:w="1475" w:type="dxa"/>
            <w:tcBorders>
              <w:top w:val="single" w:color="D8D8D8" w:sz="2" w:space="0"/>
              <w:left w:val="nil"/>
              <w:bottom w:val="single" w:color="D8D8D8" w:sz="2" w:space="0"/>
              <w:right w:val="nil"/>
              <w:insideH w:val="single" w:sz="2" w:space="0"/>
              <w:insideV w:val="nil"/>
            </w:tcBorders>
            <w:shd w:val="clear" w:color="auto" w:fill="auto"/>
            <w:vAlign w:val="center"/>
          </w:tcPr>
          <w:p w14:paraId="2512C693">
            <w:pPr>
              <w:widowControl/>
              <w:bidi w:val="0"/>
              <w:spacing w:before="0" w:after="3" w:line="360" w:lineRule="auto"/>
              <w:ind w:right="-1" w:firstLine="0"/>
              <w:jc w:val="both"/>
            </w:pPr>
          </w:p>
        </w:tc>
        <w:tc>
          <w:tcPr>
            <w:tcW w:w="2069" w:type="dxa"/>
            <w:tcBorders>
              <w:top w:val="single" w:color="D8D8D8" w:sz="2" w:space="0"/>
              <w:left w:val="nil"/>
              <w:bottom w:val="single" w:color="D8D8D8" w:sz="2" w:space="0"/>
              <w:right w:val="nil"/>
              <w:insideH w:val="single" w:sz="2" w:space="0"/>
              <w:insideV w:val="nil"/>
            </w:tcBorders>
            <w:shd w:val="clear" w:color="auto" w:fill="auto"/>
            <w:vAlign w:val="center"/>
          </w:tcPr>
          <w:p w14:paraId="0153A8F0">
            <w:pPr>
              <w:widowControl/>
              <w:bidi w:val="0"/>
              <w:spacing w:before="0" w:after="3" w:line="360" w:lineRule="auto"/>
              <w:ind w:right="-1" w:firstLine="0"/>
              <w:jc w:val="both"/>
            </w:pPr>
          </w:p>
        </w:tc>
        <w:tc>
          <w:tcPr>
            <w:tcW w:w="5483" w:type="dxa"/>
            <w:tcBorders>
              <w:top w:val="single" w:color="D8D8D8" w:sz="2" w:space="0"/>
              <w:left w:val="nil"/>
              <w:bottom w:val="single" w:color="D8D8D8" w:sz="2" w:space="0"/>
              <w:right w:val="nil"/>
              <w:insideH w:val="single" w:sz="2" w:space="0"/>
              <w:insideV w:val="nil"/>
            </w:tcBorders>
            <w:shd w:val="clear" w:color="auto" w:fill="auto"/>
            <w:vAlign w:val="center"/>
          </w:tcPr>
          <w:p w14:paraId="7F7D5795">
            <w:pPr>
              <w:widowControl/>
              <w:bidi w:val="0"/>
              <w:spacing w:before="0" w:after="3" w:line="360" w:lineRule="auto"/>
              <w:ind w:right="-1" w:firstLine="0"/>
              <w:jc w:val="both"/>
            </w:pPr>
          </w:p>
        </w:tc>
      </w:tr>
      <w:tr w14:paraId="06470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08" w:type="dxa"/>
          </w:tblCellMar>
        </w:tblPrEx>
        <w:trPr>
          <w:trHeight w:val="406" w:hRule="atLeast"/>
        </w:trPr>
        <w:tc>
          <w:tcPr>
            <w:tcW w:w="1475" w:type="dxa"/>
            <w:tcBorders>
              <w:top w:val="single" w:color="D8D8D8" w:sz="2" w:space="0"/>
              <w:left w:val="nil"/>
              <w:bottom w:val="single" w:color="D8D8D8" w:sz="2" w:space="0"/>
              <w:right w:val="nil"/>
              <w:insideH w:val="single" w:sz="2" w:space="0"/>
              <w:insideV w:val="nil"/>
            </w:tcBorders>
            <w:shd w:val="clear" w:color="auto" w:fill="auto"/>
            <w:vAlign w:val="center"/>
          </w:tcPr>
          <w:p w14:paraId="6CD83DB5">
            <w:pPr>
              <w:widowControl/>
              <w:bidi w:val="0"/>
              <w:spacing w:before="0" w:after="3" w:line="360" w:lineRule="auto"/>
              <w:ind w:right="-1" w:firstLine="0"/>
              <w:jc w:val="both"/>
            </w:pPr>
          </w:p>
        </w:tc>
        <w:tc>
          <w:tcPr>
            <w:tcW w:w="2069" w:type="dxa"/>
            <w:tcBorders>
              <w:top w:val="single" w:color="D8D8D8" w:sz="2" w:space="0"/>
              <w:left w:val="nil"/>
              <w:bottom w:val="single" w:color="D8D8D8" w:sz="2" w:space="0"/>
              <w:right w:val="nil"/>
              <w:insideH w:val="single" w:sz="2" w:space="0"/>
              <w:insideV w:val="nil"/>
            </w:tcBorders>
            <w:shd w:val="clear" w:color="auto" w:fill="auto"/>
            <w:vAlign w:val="center"/>
          </w:tcPr>
          <w:p w14:paraId="503001D1">
            <w:pPr>
              <w:widowControl/>
              <w:bidi w:val="0"/>
              <w:spacing w:before="0" w:after="3" w:line="360" w:lineRule="auto"/>
              <w:ind w:right="-1" w:firstLine="0"/>
              <w:jc w:val="both"/>
            </w:pPr>
          </w:p>
        </w:tc>
        <w:tc>
          <w:tcPr>
            <w:tcW w:w="5483" w:type="dxa"/>
            <w:tcBorders>
              <w:top w:val="single" w:color="D8D8D8" w:sz="2" w:space="0"/>
              <w:left w:val="nil"/>
              <w:bottom w:val="single" w:color="D8D8D8" w:sz="2" w:space="0"/>
              <w:right w:val="nil"/>
              <w:insideH w:val="single" w:sz="2" w:space="0"/>
              <w:insideV w:val="nil"/>
            </w:tcBorders>
            <w:shd w:val="clear" w:color="auto" w:fill="auto"/>
            <w:vAlign w:val="center"/>
          </w:tcPr>
          <w:p w14:paraId="6C827CB8">
            <w:pPr>
              <w:widowControl/>
              <w:bidi w:val="0"/>
              <w:spacing w:before="0" w:after="3" w:line="360" w:lineRule="auto"/>
              <w:ind w:right="-1" w:firstLine="0"/>
              <w:jc w:val="both"/>
            </w:pPr>
          </w:p>
        </w:tc>
      </w:tr>
      <w:tr w14:paraId="0E070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08" w:type="dxa"/>
          </w:tblCellMar>
        </w:tblPrEx>
        <w:trPr>
          <w:trHeight w:val="406" w:hRule="atLeast"/>
        </w:trPr>
        <w:tc>
          <w:tcPr>
            <w:tcW w:w="1475" w:type="dxa"/>
            <w:tcBorders>
              <w:top w:val="single" w:color="D8D8D8" w:sz="2" w:space="0"/>
              <w:left w:val="nil"/>
              <w:bottom w:val="single" w:color="D8D8D8" w:sz="2" w:space="0"/>
              <w:right w:val="nil"/>
              <w:insideH w:val="single" w:sz="2" w:space="0"/>
              <w:insideV w:val="nil"/>
            </w:tcBorders>
            <w:shd w:val="clear" w:color="auto" w:fill="auto"/>
            <w:vAlign w:val="center"/>
          </w:tcPr>
          <w:p w14:paraId="509F833A">
            <w:pPr>
              <w:widowControl/>
              <w:bidi w:val="0"/>
              <w:spacing w:before="0" w:after="3" w:line="360" w:lineRule="auto"/>
              <w:ind w:right="-1" w:firstLine="0"/>
              <w:jc w:val="both"/>
            </w:pPr>
          </w:p>
        </w:tc>
        <w:tc>
          <w:tcPr>
            <w:tcW w:w="2069" w:type="dxa"/>
            <w:tcBorders>
              <w:top w:val="single" w:color="D8D8D8" w:sz="2" w:space="0"/>
              <w:left w:val="nil"/>
              <w:bottom w:val="single" w:color="D8D8D8" w:sz="2" w:space="0"/>
              <w:right w:val="nil"/>
              <w:insideH w:val="single" w:sz="2" w:space="0"/>
              <w:insideV w:val="nil"/>
            </w:tcBorders>
            <w:shd w:val="clear" w:color="auto" w:fill="auto"/>
            <w:vAlign w:val="center"/>
          </w:tcPr>
          <w:p w14:paraId="61E1433A">
            <w:pPr>
              <w:widowControl/>
              <w:bidi w:val="0"/>
              <w:spacing w:before="0" w:after="3" w:line="360" w:lineRule="auto"/>
              <w:ind w:right="-1" w:firstLine="0"/>
              <w:jc w:val="both"/>
            </w:pPr>
          </w:p>
        </w:tc>
        <w:tc>
          <w:tcPr>
            <w:tcW w:w="5483" w:type="dxa"/>
            <w:tcBorders>
              <w:top w:val="single" w:color="D8D8D8" w:sz="2" w:space="0"/>
              <w:left w:val="nil"/>
              <w:bottom w:val="single" w:color="D8D8D8" w:sz="2" w:space="0"/>
              <w:right w:val="nil"/>
              <w:insideH w:val="single" w:sz="2" w:space="0"/>
              <w:insideV w:val="nil"/>
            </w:tcBorders>
            <w:shd w:val="clear" w:color="auto" w:fill="auto"/>
            <w:vAlign w:val="center"/>
          </w:tcPr>
          <w:p w14:paraId="7FDDCF1B">
            <w:pPr>
              <w:widowControl/>
              <w:bidi w:val="0"/>
              <w:spacing w:before="0" w:after="3" w:line="360" w:lineRule="auto"/>
              <w:ind w:right="-1" w:firstLine="0"/>
              <w:jc w:val="both"/>
            </w:pPr>
          </w:p>
        </w:tc>
      </w:tr>
      <w:tr w14:paraId="54214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08" w:type="dxa"/>
          </w:tblCellMar>
        </w:tblPrEx>
        <w:trPr>
          <w:trHeight w:val="406" w:hRule="atLeast"/>
        </w:trPr>
        <w:tc>
          <w:tcPr>
            <w:tcW w:w="1475" w:type="dxa"/>
            <w:tcBorders>
              <w:top w:val="single" w:color="D8D8D8" w:sz="2" w:space="0"/>
              <w:left w:val="nil"/>
              <w:bottom w:val="single" w:color="D8D8D8" w:sz="2" w:space="0"/>
              <w:right w:val="nil"/>
              <w:insideH w:val="single" w:sz="2" w:space="0"/>
              <w:insideV w:val="nil"/>
            </w:tcBorders>
            <w:shd w:val="clear" w:color="auto" w:fill="auto"/>
            <w:vAlign w:val="center"/>
          </w:tcPr>
          <w:p w14:paraId="26FD3D47">
            <w:pPr>
              <w:widowControl/>
              <w:bidi w:val="0"/>
              <w:spacing w:before="0" w:after="3" w:line="360" w:lineRule="auto"/>
              <w:ind w:right="-1" w:firstLine="0"/>
              <w:jc w:val="both"/>
            </w:pPr>
          </w:p>
        </w:tc>
        <w:tc>
          <w:tcPr>
            <w:tcW w:w="2069" w:type="dxa"/>
            <w:tcBorders>
              <w:top w:val="single" w:color="D8D8D8" w:sz="2" w:space="0"/>
              <w:left w:val="nil"/>
              <w:bottom w:val="single" w:color="D8D8D8" w:sz="2" w:space="0"/>
              <w:right w:val="nil"/>
              <w:insideH w:val="single" w:sz="2" w:space="0"/>
              <w:insideV w:val="nil"/>
            </w:tcBorders>
            <w:shd w:val="clear" w:color="auto" w:fill="auto"/>
            <w:vAlign w:val="center"/>
          </w:tcPr>
          <w:p w14:paraId="14D87BA2">
            <w:pPr>
              <w:widowControl/>
              <w:bidi w:val="0"/>
              <w:spacing w:before="0" w:after="3" w:line="360" w:lineRule="auto"/>
              <w:ind w:right="-1" w:firstLine="0"/>
              <w:jc w:val="both"/>
            </w:pPr>
          </w:p>
        </w:tc>
        <w:tc>
          <w:tcPr>
            <w:tcW w:w="5483" w:type="dxa"/>
            <w:tcBorders>
              <w:top w:val="single" w:color="D8D8D8" w:sz="2" w:space="0"/>
              <w:left w:val="nil"/>
              <w:bottom w:val="single" w:color="D8D8D8" w:sz="2" w:space="0"/>
              <w:right w:val="nil"/>
              <w:insideH w:val="single" w:sz="2" w:space="0"/>
              <w:insideV w:val="nil"/>
            </w:tcBorders>
            <w:shd w:val="clear" w:color="auto" w:fill="auto"/>
            <w:vAlign w:val="center"/>
          </w:tcPr>
          <w:p w14:paraId="6377FAEF">
            <w:pPr>
              <w:widowControl/>
              <w:bidi w:val="0"/>
              <w:spacing w:before="0" w:after="3" w:line="360" w:lineRule="auto"/>
              <w:ind w:right="-1" w:firstLine="0"/>
              <w:jc w:val="both"/>
            </w:pPr>
          </w:p>
        </w:tc>
      </w:tr>
    </w:tbl>
    <w:p w14:paraId="121115EA"/>
    <w:p w14:paraId="691F320E">
      <w:pPr>
        <w:spacing w:line="276" w:lineRule="auto"/>
      </w:pPr>
      <w:r>
        <w:t>Richiesta del parere degli interessati</w:t>
      </w:r>
    </w:p>
    <w:p w14:paraId="1B499220">
      <w:pPr>
        <w:spacing w:line="276" w:lineRule="auto"/>
      </w:pPr>
      <w:r>
        <w:t>Non è stato richiesto il parere degli interessati.</w:t>
      </w:r>
    </w:p>
    <w:p w14:paraId="5D9C2D9D">
      <w:pPr>
        <w:spacing w:line="276" w:lineRule="auto"/>
      </w:pPr>
    </w:p>
    <w:p w14:paraId="57B7852F">
      <w:pPr>
        <w:spacing w:line="276" w:lineRule="auto"/>
      </w:pPr>
      <w:r>
        <w:t>Motivazione della mancata richiesta del parere degli interessati</w:t>
      </w:r>
    </w:p>
    <w:tbl>
      <w:tblPr>
        <w:tblStyle w:val="20"/>
        <w:tblW w:w="97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766"/>
      </w:tblGrid>
      <w:tr w14:paraId="017FA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766"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318C5F81">
            <w:pPr>
              <w:pStyle w:val="341"/>
              <w:spacing w:line="276" w:lineRule="auto"/>
              <w:ind w:left="0" w:right="-1" w:firstLine="0"/>
            </w:pPr>
            <w:r>
              <w:t>La richiesta di un parere degli interessati non è stata considerata opportuna nel procedimento di valutazione del sistema di videosorveglianza comunale, dal momento che il Comune di Induno Olona ha deciso di realizzare il sistema di videosorveglianza sulla base di disposizioni di legge che ne permettono la realizzazione e sulla base di valutazioni effettuate dall'Ente. In particolare, l'Ente ha valutato la necessità della predisposizione di un sistema di videosorveglianza per finalità di sicurezza urbana e di prevenzione di illeciti amministrativi, alla luce degli episodi di criminalità e di violazioni amministrative che si verificano sul territorio comunale.</w:t>
            </w:r>
          </w:p>
        </w:tc>
      </w:tr>
    </w:tbl>
    <w:p w14:paraId="6764F33D">
      <w:r>
        <w:br w:type="page"/>
      </w:r>
    </w:p>
    <w:p w14:paraId="194AB4EB">
      <w:r>
        <w:rPr>
          <w:rStyle w:val="46"/>
        </w:rPr>
        <w:t>SOMMARIO</w:t>
      </w:r>
    </w:p>
    <w:p w14:paraId="64919C88">
      <w:pPr>
        <w:pStyle w:val="22"/>
        <w:tabs>
          <w:tab w:val="right" w:pos="9628"/>
        </w:tabs>
        <w:rPr>
          <w:rFonts w:asciiTheme="minorHAnsi" w:hAnsiTheme="minorHAnsi" w:eastAsiaTheme="minorEastAsia" w:cstheme="minorBidi"/>
          <w:bCs w:val="0"/>
          <w:caps w:val="0"/>
          <w:smallCaps w:val="0"/>
          <w:color w:val="00000A"/>
          <w:u w:val="none"/>
        </w:rPr>
      </w:pPr>
      <w:r>
        <w:fldChar w:fldCharType="begin"/>
      </w:r>
      <w:r>
        <w:rPr>
          <w:rStyle w:val="120"/>
        </w:rPr>
        <w:instrText xml:space="preserve">TOC \z \o "1-3" \u \h</w:instrText>
      </w:r>
      <w:r>
        <w:rPr>
          <w:rStyle w:val="120"/>
        </w:rPr>
        <w:fldChar w:fldCharType="separate"/>
      </w:r>
      <w:r>
        <w:fldChar w:fldCharType="begin"/>
      </w:r>
      <w:r>
        <w:instrText xml:space="preserve"> HYPERLINK \l "_Toc211869138" \h </w:instrText>
      </w:r>
      <w:r>
        <w:fldChar w:fldCharType="separate"/>
      </w:r>
      <w:r>
        <w:fldChar w:fldCharType="begin"/>
      </w:r>
      <w:r>
        <w:instrText xml:space="preserve">PAGEREF _Toc211869138 \h</w:instrText>
      </w:r>
      <w:r>
        <w:fldChar w:fldCharType="separate"/>
      </w:r>
      <w:r>
        <w:rPr>
          <w:rStyle w:val="120"/>
        </w:rPr>
        <w:t>Premessa e metodologia utilizzata</w:t>
      </w:r>
      <w:r>
        <w:rPr>
          <w:rStyle w:val="120"/>
        </w:rPr>
        <w:tab/>
      </w:r>
      <w:r>
        <w:rPr>
          <w:rStyle w:val="120"/>
        </w:rPr>
        <w:t>6</w:t>
      </w:r>
      <w:r>
        <w:fldChar w:fldCharType="end"/>
      </w:r>
      <w:r>
        <w:fldChar w:fldCharType="end"/>
      </w:r>
    </w:p>
    <w:p w14:paraId="41DFC322">
      <w:pPr>
        <w:pStyle w:val="23"/>
        <w:tabs>
          <w:tab w:val="right" w:pos="9628"/>
        </w:tabs>
        <w:rPr>
          <w:rFonts w:asciiTheme="minorHAnsi" w:hAnsiTheme="minorHAnsi" w:eastAsiaTheme="minorEastAsia" w:cstheme="minorBidi"/>
          <w:bCs w:val="0"/>
          <w:caps w:val="0"/>
          <w:smallCaps w:val="0"/>
          <w:color w:val="00000A"/>
        </w:rPr>
      </w:pPr>
      <w:r>
        <w:fldChar w:fldCharType="begin"/>
      </w:r>
      <w:r>
        <w:instrText xml:space="preserve"> HYPERLINK \l "_Toc211869139" \h </w:instrText>
      </w:r>
      <w:r>
        <w:fldChar w:fldCharType="separate"/>
      </w:r>
      <w:r>
        <w:fldChar w:fldCharType="begin"/>
      </w:r>
      <w:r>
        <w:instrText xml:space="preserve">PAGEREF _Toc211869139 \h</w:instrText>
      </w:r>
      <w:r>
        <w:fldChar w:fldCharType="separate"/>
      </w:r>
      <w:r>
        <w:rPr>
          <w:rStyle w:val="120"/>
        </w:rPr>
        <w:t>Premessa</w:t>
      </w:r>
      <w:r>
        <w:rPr>
          <w:rStyle w:val="120"/>
        </w:rPr>
        <w:tab/>
      </w:r>
      <w:r>
        <w:rPr>
          <w:rStyle w:val="120"/>
        </w:rPr>
        <w:t>6</w:t>
      </w:r>
      <w:r>
        <w:fldChar w:fldCharType="end"/>
      </w:r>
      <w:r>
        <w:fldChar w:fldCharType="end"/>
      </w:r>
    </w:p>
    <w:p w14:paraId="5AEBACA8">
      <w:pPr>
        <w:pStyle w:val="23"/>
        <w:tabs>
          <w:tab w:val="right" w:pos="9628"/>
        </w:tabs>
        <w:rPr>
          <w:rFonts w:asciiTheme="minorHAnsi" w:hAnsiTheme="minorHAnsi" w:eastAsiaTheme="minorEastAsia" w:cstheme="minorBidi"/>
          <w:bCs w:val="0"/>
          <w:caps w:val="0"/>
          <w:smallCaps w:val="0"/>
          <w:color w:val="00000A"/>
        </w:rPr>
      </w:pPr>
      <w:r>
        <w:fldChar w:fldCharType="begin"/>
      </w:r>
      <w:r>
        <w:instrText xml:space="preserve"> HYPERLINK \l "_Toc211869140" \h </w:instrText>
      </w:r>
      <w:r>
        <w:fldChar w:fldCharType="separate"/>
      </w:r>
      <w:r>
        <w:fldChar w:fldCharType="begin"/>
      </w:r>
      <w:r>
        <w:instrText xml:space="preserve">PAGEREF _Toc211869140 \h</w:instrText>
      </w:r>
      <w:r>
        <w:fldChar w:fldCharType="separate"/>
      </w:r>
      <w:r>
        <w:rPr>
          <w:rStyle w:val="120"/>
        </w:rPr>
        <w:t>Metodologia utilizzata</w:t>
      </w:r>
      <w:r>
        <w:rPr>
          <w:rStyle w:val="120"/>
        </w:rPr>
        <w:tab/>
      </w:r>
      <w:r>
        <w:rPr>
          <w:rStyle w:val="120"/>
        </w:rPr>
        <w:t>11</w:t>
      </w:r>
      <w:r>
        <w:fldChar w:fldCharType="end"/>
      </w:r>
      <w:r>
        <w:fldChar w:fldCharType="end"/>
      </w:r>
    </w:p>
    <w:p w14:paraId="72AB7822">
      <w:pPr>
        <w:pStyle w:val="22"/>
        <w:tabs>
          <w:tab w:val="right" w:pos="9628"/>
        </w:tabs>
        <w:rPr>
          <w:rFonts w:asciiTheme="minorHAnsi" w:hAnsiTheme="minorHAnsi" w:eastAsiaTheme="minorEastAsia" w:cstheme="minorBidi"/>
          <w:bCs w:val="0"/>
          <w:caps w:val="0"/>
          <w:smallCaps w:val="0"/>
          <w:color w:val="00000A"/>
          <w:u w:val="none"/>
        </w:rPr>
      </w:pPr>
      <w:r>
        <w:fldChar w:fldCharType="begin"/>
      </w:r>
      <w:r>
        <w:instrText xml:space="preserve"> HYPERLINK \l "_Toc211869141" \h </w:instrText>
      </w:r>
      <w:r>
        <w:fldChar w:fldCharType="separate"/>
      </w:r>
      <w:r>
        <w:fldChar w:fldCharType="begin"/>
      </w:r>
      <w:r>
        <w:instrText xml:space="preserve">PAGEREF _Toc211869141 \h</w:instrText>
      </w:r>
      <w:r>
        <w:fldChar w:fldCharType="separate"/>
      </w:r>
      <w:r>
        <w:rPr>
          <w:rStyle w:val="120"/>
        </w:rPr>
        <w:t>Contesto</w:t>
      </w:r>
      <w:r>
        <w:rPr>
          <w:rStyle w:val="120"/>
        </w:rPr>
        <w:tab/>
      </w:r>
      <w:r>
        <w:rPr>
          <w:rStyle w:val="120"/>
        </w:rPr>
        <w:t>14</w:t>
      </w:r>
      <w:r>
        <w:fldChar w:fldCharType="end"/>
      </w:r>
      <w:r>
        <w:fldChar w:fldCharType="end"/>
      </w:r>
    </w:p>
    <w:p w14:paraId="3505B54B">
      <w:pPr>
        <w:pStyle w:val="23"/>
        <w:tabs>
          <w:tab w:val="right" w:pos="9628"/>
        </w:tabs>
        <w:rPr>
          <w:rFonts w:asciiTheme="minorHAnsi" w:hAnsiTheme="minorHAnsi" w:eastAsiaTheme="minorEastAsia" w:cstheme="minorBidi"/>
          <w:bCs w:val="0"/>
          <w:caps w:val="0"/>
          <w:smallCaps w:val="0"/>
          <w:color w:val="00000A"/>
        </w:rPr>
      </w:pPr>
      <w:r>
        <w:fldChar w:fldCharType="begin"/>
      </w:r>
      <w:r>
        <w:instrText xml:space="preserve"> HYPERLINK \l "_Toc211869142" \h </w:instrText>
      </w:r>
      <w:r>
        <w:fldChar w:fldCharType="separate"/>
      </w:r>
      <w:r>
        <w:fldChar w:fldCharType="begin"/>
      </w:r>
      <w:r>
        <w:instrText xml:space="preserve">PAGEREF _Toc211869142 \h</w:instrText>
      </w:r>
      <w:r>
        <w:fldChar w:fldCharType="separate"/>
      </w:r>
      <w:r>
        <w:rPr>
          <w:rStyle w:val="120"/>
        </w:rPr>
        <w:t>Panoramica del trattamento</w:t>
      </w:r>
      <w:r>
        <w:rPr>
          <w:rStyle w:val="120"/>
        </w:rPr>
        <w:tab/>
      </w:r>
      <w:r>
        <w:rPr>
          <w:rStyle w:val="120"/>
        </w:rPr>
        <w:t>14</w:t>
      </w:r>
      <w:r>
        <w:fldChar w:fldCharType="end"/>
      </w:r>
      <w:r>
        <w:fldChar w:fldCharType="end"/>
      </w:r>
    </w:p>
    <w:p w14:paraId="3590C3EE">
      <w:pPr>
        <w:pStyle w:val="24"/>
        <w:tabs>
          <w:tab w:val="right" w:pos="9628"/>
        </w:tabs>
        <w:rPr>
          <w:rFonts w:eastAsiaTheme="minorEastAsia" w:cstheme="minorBidi"/>
          <w:caps w:val="0"/>
          <w:smallCaps w:val="0"/>
          <w:color w:val="00000A"/>
        </w:rPr>
      </w:pPr>
      <w:r>
        <w:fldChar w:fldCharType="begin"/>
      </w:r>
      <w:r>
        <w:instrText xml:space="preserve"> HYPERLINK \l "_Toc211869143" \h </w:instrText>
      </w:r>
      <w:r>
        <w:fldChar w:fldCharType="separate"/>
      </w:r>
      <w:r>
        <w:fldChar w:fldCharType="begin"/>
      </w:r>
      <w:r>
        <w:instrText xml:space="preserve">PAGEREF _Toc211869143 \h</w:instrText>
      </w:r>
      <w:r>
        <w:fldChar w:fldCharType="separate"/>
      </w:r>
      <w:r>
        <w:rPr>
          <w:rStyle w:val="120"/>
        </w:rPr>
        <w:t>Quale è il trattamento in considerazione?</w:t>
      </w:r>
      <w:r>
        <w:rPr>
          <w:rStyle w:val="120"/>
        </w:rPr>
        <w:tab/>
      </w:r>
      <w:r>
        <w:rPr>
          <w:rStyle w:val="120"/>
        </w:rPr>
        <w:t>14</w:t>
      </w:r>
      <w:r>
        <w:fldChar w:fldCharType="end"/>
      </w:r>
      <w:r>
        <w:fldChar w:fldCharType="end"/>
      </w:r>
    </w:p>
    <w:p w14:paraId="6D101C83">
      <w:pPr>
        <w:pStyle w:val="24"/>
        <w:tabs>
          <w:tab w:val="right" w:pos="9628"/>
        </w:tabs>
        <w:rPr>
          <w:rFonts w:eastAsiaTheme="minorEastAsia" w:cstheme="minorBidi"/>
          <w:caps w:val="0"/>
          <w:smallCaps w:val="0"/>
          <w:color w:val="00000A"/>
        </w:rPr>
      </w:pPr>
      <w:r>
        <w:fldChar w:fldCharType="begin"/>
      </w:r>
      <w:r>
        <w:instrText xml:space="preserve"> HYPERLINK \l "_Toc211869144" \h </w:instrText>
      </w:r>
      <w:r>
        <w:fldChar w:fldCharType="separate"/>
      </w:r>
      <w:r>
        <w:fldChar w:fldCharType="begin"/>
      </w:r>
      <w:r>
        <w:instrText xml:space="preserve">PAGEREF _Toc211869144 \h</w:instrText>
      </w:r>
      <w:r>
        <w:fldChar w:fldCharType="separate"/>
      </w:r>
      <w:r>
        <w:rPr>
          <w:rStyle w:val="120"/>
        </w:rPr>
        <w:t>Quali sono le responsabilità connesse al trattamento?</w:t>
      </w:r>
      <w:r>
        <w:rPr>
          <w:rStyle w:val="120"/>
        </w:rPr>
        <w:tab/>
      </w:r>
      <w:r>
        <w:rPr>
          <w:rStyle w:val="120"/>
        </w:rPr>
        <w:t>14</w:t>
      </w:r>
      <w:r>
        <w:fldChar w:fldCharType="end"/>
      </w:r>
      <w:r>
        <w:fldChar w:fldCharType="end"/>
      </w:r>
    </w:p>
    <w:p w14:paraId="68711913">
      <w:pPr>
        <w:pStyle w:val="23"/>
        <w:tabs>
          <w:tab w:val="right" w:pos="9628"/>
        </w:tabs>
        <w:rPr>
          <w:rFonts w:asciiTheme="minorHAnsi" w:hAnsiTheme="minorHAnsi" w:eastAsiaTheme="minorEastAsia" w:cstheme="minorBidi"/>
          <w:bCs w:val="0"/>
          <w:caps w:val="0"/>
          <w:smallCaps w:val="0"/>
          <w:color w:val="00000A"/>
        </w:rPr>
      </w:pPr>
      <w:r>
        <w:fldChar w:fldCharType="begin"/>
      </w:r>
      <w:r>
        <w:instrText xml:space="preserve"> HYPERLINK \l "_Toc211869145" \h </w:instrText>
      </w:r>
      <w:r>
        <w:fldChar w:fldCharType="separate"/>
      </w:r>
      <w:r>
        <w:fldChar w:fldCharType="begin"/>
      </w:r>
      <w:r>
        <w:instrText xml:space="preserve">PAGEREF _Toc211869145 \h</w:instrText>
      </w:r>
      <w:r>
        <w:fldChar w:fldCharType="separate"/>
      </w:r>
      <w:r>
        <w:rPr>
          <w:rStyle w:val="120"/>
        </w:rPr>
        <w:t>Dati, processi e risorse di supporto</w:t>
      </w:r>
      <w:r>
        <w:rPr>
          <w:rStyle w:val="120"/>
        </w:rPr>
        <w:tab/>
      </w:r>
      <w:r>
        <w:rPr>
          <w:rStyle w:val="120"/>
        </w:rPr>
        <w:t>16</w:t>
      </w:r>
      <w:r>
        <w:fldChar w:fldCharType="end"/>
      </w:r>
      <w:r>
        <w:fldChar w:fldCharType="end"/>
      </w:r>
    </w:p>
    <w:p w14:paraId="4CD33627">
      <w:pPr>
        <w:pStyle w:val="24"/>
        <w:tabs>
          <w:tab w:val="right" w:pos="9628"/>
        </w:tabs>
        <w:rPr>
          <w:rFonts w:eastAsiaTheme="minorEastAsia" w:cstheme="minorBidi"/>
          <w:caps w:val="0"/>
          <w:smallCaps w:val="0"/>
          <w:color w:val="00000A"/>
        </w:rPr>
      </w:pPr>
      <w:r>
        <w:fldChar w:fldCharType="begin"/>
      </w:r>
      <w:r>
        <w:instrText xml:space="preserve"> HYPERLINK \l "_Toc211869146" \h </w:instrText>
      </w:r>
      <w:r>
        <w:fldChar w:fldCharType="separate"/>
      </w:r>
      <w:r>
        <w:fldChar w:fldCharType="begin"/>
      </w:r>
      <w:r>
        <w:instrText xml:space="preserve">PAGEREF _Toc211869146 \h</w:instrText>
      </w:r>
      <w:r>
        <w:fldChar w:fldCharType="separate"/>
      </w:r>
      <w:r>
        <w:rPr>
          <w:rStyle w:val="120"/>
        </w:rPr>
        <w:t>Quali sono i dati trattati?</w:t>
      </w:r>
      <w:r>
        <w:rPr>
          <w:rStyle w:val="120"/>
        </w:rPr>
        <w:tab/>
      </w:r>
      <w:r>
        <w:rPr>
          <w:rStyle w:val="120"/>
        </w:rPr>
        <w:t>16</w:t>
      </w:r>
      <w:r>
        <w:fldChar w:fldCharType="end"/>
      </w:r>
      <w:r>
        <w:fldChar w:fldCharType="end"/>
      </w:r>
    </w:p>
    <w:p w14:paraId="7A55DEED">
      <w:pPr>
        <w:pStyle w:val="24"/>
        <w:tabs>
          <w:tab w:val="right" w:pos="9628"/>
        </w:tabs>
        <w:rPr>
          <w:rFonts w:eastAsiaTheme="minorEastAsia" w:cstheme="minorBidi"/>
          <w:caps w:val="0"/>
          <w:smallCaps w:val="0"/>
          <w:color w:val="00000A"/>
        </w:rPr>
      </w:pPr>
      <w:r>
        <w:fldChar w:fldCharType="begin"/>
      </w:r>
      <w:r>
        <w:instrText xml:space="preserve"> HYPERLINK \l "_Toc211869147" \h </w:instrText>
      </w:r>
      <w:r>
        <w:fldChar w:fldCharType="separate"/>
      </w:r>
      <w:r>
        <w:fldChar w:fldCharType="begin"/>
      </w:r>
      <w:r>
        <w:instrText xml:space="preserve">PAGEREF _Toc211869147 \h</w:instrText>
      </w:r>
      <w:r>
        <w:fldChar w:fldCharType="separate"/>
      </w:r>
      <w:r>
        <w:rPr>
          <w:rStyle w:val="120"/>
        </w:rPr>
        <w:t>Qual è il ciclo di vita del trattamento dei dati (descrizione funzionale)?</w:t>
      </w:r>
      <w:r>
        <w:rPr>
          <w:rStyle w:val="120"/>
        </w:rPr>
        <w:tab/>
      </w:r>
      <w:r>
        <w:rPr>
          <w:rStyle w:val="120"/>
        </w:rPr>
        <w:t>16</w:t>
      </w:r>
      <w:r>
        <w:fldChar w:fldCharType="end"/>
      </w:r>
      <w:r>
        <w:fldChar w:fldCharType="end"/>
      </w:r>
    </w:p>
    <w:p w14:paraId="472D7EB1">
      <w:pPr>
        <w:pStyle w:val="24"/>
        <w:tabs>
          <w:tab w:val="right" w:pos="9628"/>
        </w:tabs>
        <w:rPr>
          <w:rFonts w:eastAsiaTheme="minorEastAsia" w:cstheme="minorBidi"/>
          <w:caps w:val="0"/>
          <w:smallCaps w:val="0"/>
          <w:color w:val="00000A"/>
        </w:rPr>
      </w:pPr>
      <w:r>
        <w:fldChar w:fldCharType="begin"/>
      </w:r>
      <w:r>
        <w:instrText xml:space="preserve"> HYPERLINK \l "_Toc211869148" \h </w:instrText>
      </w:r>
      <w:r>
        <w:fldChar w:fldCharType="separate"/>
      </w:r>
      <w:r>
        <w:fldChar w:fldCharType="begin"/>
      </w:r>
      <w:r>
        <w:instrText xml:space="preserve">PAGEREF _Toc211869148 \h</w:instrText>
      </w:r>
      <w:r>
        <w:fldChar w:fldCharType="separate"/>
      </w:r>
      <w:r>
        <w:rPr>
          <w:rStyle w:val="120"/>
        </w:rPr>
        <w:t>Quali sono le risorse di supporto ai dati?</w:t>
      </w:r>
      <w:r>
        <w:rPr>
          <w:rStyle w:val="120"/>
        </w:rPr>
        <w:tab/>
      </w:r>
      <w:r>
        <w:rPr>
          <w:rStyle w:val="120"/>
        </w:rPr>
        <w:t>17</w:t>
      </w:r>
      <w:r>
        <w:fldChar w:fldCharType="end"/>
      </w:r>
      <w:r>
        <w:fldChar w:fldCharType="end"/>
      </w:r>
    </w:p>
    <w:p w14:paraId="042F5105">
      <w:pPr>
        <w:pStyle w:val="23"/>
        <w:tabs>
          <w:tab w:val="right" w:pos="9628"/>
        </w:tabs>
        <w:rPr>
          <w:rFonts w:asciiTheme="minorHAnsi" w:hAnsiTheme="minorHAnsi" w:eastAsiaTheme="minorEastAsia" w:cstheme="minorBidi"/>
          <w:bCs w:val="0"/>
          <w:caps w:val="0"/>
          <w:smallCaps w:val="0"/>
          <w:color w:val="00000A"/>
        </w:rPr>
      </w:pPr>
      <w:r>
        <w:fldChar w:fldCharType="begin"/>
      </w:r>
      <w:r>
        <w:instrText xml:space="preserve"> HYPERLINK \l "_Toc211869149" \h </w:instrText>
      </w:r>
      <w:r>
        <w:fldChar w:fldCharType="separate"/>
      </w:r>
      <w:r>
        <w:fldChar w:fldCharType="begin"/>
      </w:r>
      <w:r>
        <w:instrText xml:space="preserve">PAGEREF _Toc211869149 \h</w:instrText>
      </w:r>
      <w:r>
        <w:fldChar w:fldCharType="separate"/>
      </w:r>
      <w:r>
        <w:rPr>
          <w:rStyle w:val="120"/>
        </w:rPr>
        <w:t>Principi Fondamentali</w:t>
      </w:r>
      <w:r>
        <w:rPr>
          <w:rStyle w:val="120"/>
        </w:rPr>
        <w:tab/>
      </w:r>
      <w:r>
        <w:rPr>
          <w:rStyle w:val="120"/>
        </w:rPr>
        <w:t>19</w:t>
      </w:r>
      <w:r>
        <w:fldChar w:fldCharType="end"/>
      </w:r>
      <w:r>
        <w:fldChar w:fldCharType="end"/>
      </w:r>
    </w:p>
    <w:p w14:paraId="6FBB106F">
      <w:pPr>
        <w:pStyle w:val="24"/>
        <w:tabs>
          <w:tab w:val="right" w:pos="9628"/>
        </w:tabs>
        <w:rPr>
          <w:rFonts w:eastAsiaTheme="minorEastAsia" w:cstheme="minorBidi"/>
          <w:caps w:val="0"/>
          <w:smallCaps w:val="0"/>
          <w:color w:val="00000A"/>
        </w:rPr>
      </w:pPr>
      <w:r>
        <w:fldChar w:fldCharType="begin"/>
      </w:r>
      <w:r>
        <w:instrText xml:space="preserve"> HYPERLINK \l "_Toc211869150" \h </w:instrText>
      </w:r>
      <w:r>
        <w:fldChar w:fldCharType="separate"/>
      </w:r>
      <w:r>
        <w:fldChar w:fldCharType="begin"/>
      </w:r>
      <w:r>
        <w:instrText xml:space="preserve">PAGEREF _Toc211869150 \h</w:instrText>
      </w:r>
      <w:r>
        <w:fldChar w:fldCharType="separate"/>
      </w:r>
      <w:r>
        <w:rPr>
          <w:rStyle w:val="120"/>
        </w:rPr>
        <w:t>Proporzionalità e necessità</w:t>
      </w:r>
      <w:r>
        <w:rPr>
          <w:rStyle w:val="120"/>
        </w:rPr>
        <w:tab/>
      </w:r>
      <w:r>
        <w:rPr>
          <w:rStyle w:val="120"/>
        </w:rPr>
        <w:t>19</w:t>
      </w:r>
      <w:r>
        <w:fldChar w:fldCharType="end"/>
      </w:r>
      <w:r>
        <w:fldChar w:fldCharType="end"/>
      </w:r>
    </w:p>
    <w:p w14:paraId="0DCDC30A">
      <w:pPr>
        <w:pStyle w:val="24"/>
        <w:tabs>
          <w:tab w:val="right" w:pos="9628"/>
        </w:tabs>
        <w:rPr>
          <w:rFonts w:eastAsiaTheme="minorEastAsia" w:cstheme="minorBidi"/>
          <w:caps w:val="0"/>
          <w:smallCaps w:val="0"/>
          <w:color w:val="00000A"/>
        </w:rPr>
      </w:pPr>
      <w:r>
        <w:fldChar w:fldCharType="begin"/>
      </w:r>
      <w:r>
        <w:instrText xml:space="preserve"> HYPERLINK \l "_Toc211869151" \h </w:instrText>
      </w:r>
      <w:r>
        <w:fldChar w:fldCharType="separate"/>
      </w:r>
      <w:r>
        <w:fldChar w:fldCharType="begin"/>
      </w:r>
      <w:r>
        <w:instrText xml:space="preserve">PAGEREF _Toc211869151 \h</w:instrText>
      </w:r>
      <w:r>
        <w:fldChar w:fldCharType="separate"/>
      </w:r>
      <w:r>
        <w:rPr>
          <w:rStyle w:val="120"/>
        </w:rPr>
        <w:t>I dati trattati sono adeguati, pertinenti e limitati a quanto è necessario in relazione alle finalità per cui sono trattati (minimizzazione dei dati)</w:t>
      </w:r>
      <w:r>
        <w:rPr>
          <w:rStyle w:val="120"/>
        </w:rPr>
        <w:tab/>
      </w:r>
      <w:r>
        <w:rPr>
          <w:rStyle w:val="120"/>
        </w:rPr>
        <w:t>20</w:t>
      </w:r>
      <w:r>
        <w:fldChar w:fldCharType="end"/>
      </w:r>
      <w:r>
        <w:fldChar w:fldCharType="end"/>
      </w:r>
    </w:p>
    <w:p w14:paraId="0D9085E6">
      <w:pPr>
        <w:pStyle w:val="24"/>
        <w:tabs>
          <w:tab w:val="right" w:pos="9628"/>
        </w:tabs>
        <w:rPr>
          <w:rFonts w:eastAsiaTheme="minorEastAsia" w:cstheme="minorBidi"/>
          <w:caps w:val="0"/>
          <w:smallCaps w:val="0"/>
          <w:color w:val="00000A"/>
        </w:rPr>
      </w:pPr>
      <w:r>
        <w:fldChar w:fldCharType="begin"/>
      </w:r>
      <w:r>
        <w:instrText xml:space="preserve"> HYPERLINK \l "_Toc211869152" \h </w:instrText>
      </w:r>
      <w:r>
        <w:fldChar w:fldCharType="separate"/>
      </w:r>
      <w:r>
        <w:fldChar w:fldCharType="begin"/>
      </w:r>
      <w:r>
        <w:instrText xml:space="preserve">PAGEREF _Toc211869152 \h</w:instrText>
      </w:r>
      <w:r>
        <w:fldChar w:fldCharType="separate"/>
      </w:r>
      <w:r>
        <w:rPr>
          <w:rStyle w:val="120"/>
        </w:rPr>
        <w:t>I dati sono esatti e aggiornati?</w:t>
      </w:r>
      <w:r>
        <w:rPr>
          <w:rStyle w:val="120"/>
        </w:rPr>
        <w:tab/>
      </w:r>
      <w:r>
        <w:rPr>
          <w:rStyle w:val="120"/>
        </w:rPr>
        <w:t>21</w:t>
      </w:r>
      <w:r>
        <w:fldChar w:fldCharType="end"/>
      </w:r>
      <w:r>
        <w:fldChar w:fldCharType="end"/>
      </w:r>
    </w:p>
    <w:p w14:paraId="4511682F">
      <w:pPr>
        <w:pStyle w:val="24"/>
        <w:tabs>
          <w:tab w:val="right" w:pos="9628"/>
        </w:tabs>
        <w:rPr>
          <w:rFonts w:eastAsiaTheme="minorEastAsia" w:cstheme="minorBidi"/>
          <w:caps w:val="0"/>
          <w:smallCaps w:val="0"/>
          <w:color w:val="00000A"/>
        </w:rPr>
      </w:pPr>
      <w:r>
        <w:fldChar w:fldCharType="begin"/>
      </w:r>
      <w:r>
        <w:instrText xml:space="preserve"> HYPERLINK \l "_Toc211869153" \h </w:instrText>
      </w:r>
      <w:r>
        <w:fldChar w:fldCharType="separate"/>
      </w:r>
      <w:r>
        <w:fldChar w:fldCharType="begin"/>
      </w:r>
      <w:r>
        <w:instrText xml:space="preserve">PAGEREF _Toc211869153 \h</w:instrText>
      </w:r>
      <w:r>
        <w:fldChar w:fldCharType="separate"/>
      </w:r>
      <w:r>
        <w:rPr>
          <w:rStyle w:val="120"/>
        </w:rPr>
        <w:t>Qual è il periodo di conservazione dei dati?</w:t>
      </w:r>
      <w:r>
        <w:rPr>
          <w:rStyle w:val="120"/>
        </w:rPr>
        <w:tab/>
      </w:r>
      <w:r>
        <w:rPr>
          <w:rStyle w:val="120"/>
        </w:rPr>
        <w:t>21</w:t>
      </w:r>
      <w:r>
        <w:fldChar w:fldCharType="end"/>
      </w:r>
      <w:r>
        <w:fldChar w:fldCharType="end"/>
      </w:r>
    </w:p>
    <w:p w14:paraId="2D6FC8B5">
      <w:pPr>
        <w:pStyle w:val="24"/>
        <w:tabs>
          <w:tab w:val="right" w:pos="9628"/>
        </w:tabs>
        <w:rPr>
          <w:rFonts w:eastAsiaTheme="minorEastAsia" w:cstheme="minorBidi"/>
          <w:caps w:val="0"/>
          <w:smallCaps w:val="0"/>
          <w:color w:val="00000A"/>
        </w:rPr>
      </w:pPr>
      <w:r>
        <w:fldChar w:fldCharType="begin"/>
      </w:r>
      <w:r>
        <w:instrText xml:space="preserve"> HYPERLINK \l "_Toc211869154" \h </w:instrText>
      </w:r>
      <w:r>
        <w:fldChar w:fldCharType="separate"/>
      </w:r>
      <w:r>
        <w:fldChar w:fldCharType="begin"/>
      </w:r>
      <w:r>
        <w:instrText xml:space="preserve">PAGEREF _Toc211869154 \h</w:instrText>
      </w:r>
      <w:r>
        <w:fldChar w:fldCharType="separate"/>
      </w:r>
      <w:r>
        <w:rPr>
          <w:rStyle w:val="120"/>
        </w:rPr>
        <w:t>Misure a tutela dei diritti degli interessati</w:t>
      </w:r>
      <w:r>
        <w:rPr>
          <w:rStyle w:val="120"/>
        </w:rPr>
        <w:tab/>
      </w:r>
      <w:r>
        <w:rPr>
          <w:rStyle w:val="120"/>
        </w:rPr>
        <w:t>22</w:t>
      </w:r>
      <w:r>
        <w:fldChar w:fldCharType="end"/>
      </w:r>
      <w:r>
        <w:fldChar w:fldCharType="end"/>
      </w:r>
    </w:p>
    <w:p w14:paraId="6C6857B4">
      <w:pPr>
        <w:pStyle w:val="24"/>
        <w:tabs>
          <w:tab w:val="right" w:pos="9628"/>
        </w:tabs>
        <w:rPr>
          <w:rFonts w:eastAsiaTheme="minorEastAsia" w:cstheme="minorBidi"/>
          <w:caps w:val="0"/>
          <w:smallCaps w:val="0"/>
          <w:color w:val="00000A"/>
        </w:rPr>
      </w:pPr>
      <w:r>
        <w:fldChar w:fldCharType="begin"/>
      </w:r>
      <w:r>
        <w:instrText xml:space="preserve"> HYPERLINK \l "_Toc211869155" \h </w:instrText>
      </w:r>
      <w:r>
        <w:fldChar w:fldCharType="separate"/>
      </w:r>
      <w:r>
        <w:fldChar w:fldCharType="begin"/>
      </w:r>
      <w:r>
        <w:instrText xml:space="preserve">PAGEREF _Toc211869155 \h</w:instrText>
      </w:r>
      <w:r>
        <w:fldChar w:fldCharType="separate"/>
      </w:r>
      <w:r>
        <w:rPr>
          <w:rStyle w:val="120"/>
        </w:rPr>
        <w:t>Come fanno gli interessati a esercitare i loro diritti di accesso e di portabilità dei dati?</w:t>
      </w:r>
      <w:r>
        <w:rPr>
          <w:rStyle w:val="120"/>
        </w:rPr>
        <w:tab/>
      </w:r>
      <w:r>
        <w:rPr>
          <w:rStyle w:val="120"/>
        </w:rPr>
        <w:t>23</w:t>
      </w:r>
      <w:r>
        <w:fldChar w:fldCharType="end"/>
      </w:r>
      <w:r>
        <w:fldChar w:fldCharType="end"/>
      </w:r>
    </w:p>
    <w:p w14:paraId="415ABCCB">
      <w:pPr>
        <w:pStyle w:val="24"/>
        <w:tabs>
          <w:tab w:val="right" w:pos="9628"/>
        </w:tabs>
        <w:rPr>
          <w:rFonts w:eastAsiaTheme="minorEastAsia" w:cstheme="minorBidi"/>
          <w:caps w:val="0"/>
          <w:smallCaps w:val="0"/>
          <w:color w:val="00000A"/>
        </w:rPr>
      </w:pPr>
      <w:r>
        <w:fldChar w:fldCharType="begin"/>
      </w:r>
      <w:r>
        <w:instrText xml:space="preserve"> HYPERLINK \l "_Toc211869156" \h </w:instrText>
      </w:r>
      <w:r>
        <w:fldChar w:fldCharType="separate"/>
      </w:r>
      <w:r>
        <w:fldChar w:fldCharType="begin"/>
      </w:r>
      <w:r>
        <w:instrText xml:space="preserve">PAGEREF _Toc211869156 \h</w:instrText>
      </w:r>
      <w:r>
        <w:fldChar w:fldCharType="separate"/>
      </w:r>
      <w:r>
        <w:rPr>
          <w:rStyle w:val="120"/>
        </w:rPr>
        <w:t>Come fanno gli interessati a esercitare i loro diritti di rettifica e di cancellazione (diritto all’oblio)</w:t>
      </w:r>
      <w:r>
        <w:rPr>
          <w:rStyle w:val="120"/>
          <w:rFonts w:hint="default"/>
          <w:lang w:val="it-IT"/>
        </w:rPr>
        <w:t>?</w:t>
      </w:r>
      <w:r>
        <w:rPr>
          <w:rStyle w:val="120"/>
        </w:rPr>
        <w:tab/>
      </w:r>
      <w:r>
        <w:rPr>
          <w:rStyle w:val="120"/>
        </w:rPr>
        <w:t>23</w:t>
      </w:r>
      <w:r>
        <w:fldChar w:fldCharType="end"/>
      </w:r>
      <w:r>
        <w:fldChar w:fldCharType="end"/>
      </w:r>
    </w:p>
    <w:p w14:paraId="2F19D3EA">
      <w:pPr>
        <w:pStyle w:val="24"/>
        <w:tabs>
          <w:tab w:val="right" w:pos="9628"/>
        </w:tabs>
        <w:rPr>
          <w:rFonts w:eastAsiaTheme="minorEastAsia" w:cstheme="minorBidi"/>
          <w:caps w:val="0"/>
          <w:smallCaps w:val="0"/>
          <w:color w:val="00000A"/>
        </w:rPr>
      </w:pPr>
      <w:r>
        <w:fldChar w:fldCharType="begin"/>
      </w:r>
      <w:r>
        <w:instrText xml:space="preserve"> HYPERLINK \l "_Toc211869157" \h </w:instrText>
      </w:r>
      <w:r>
        <w:fldChar w:fldCharType="separate"/>
      </w:r>
      <w:r>
        <w:fldChar w:fldCharType="begin"/>
      </w:r>
      <w:r>
        <w:instrText xml:space="preserve">PAGEREF _Toc211869157 \h</w:instrText>
      </w:r>
      <w:r>
        <w:fldChar w:fldCharType="separate"/>
      </w:r>
      <w:r>
        <w:rPr>
          <w:rStyle w:val="120"/>
        </w:rPr>
        <w:t>Come fanno gli interessati a esercitare i loro diritti di limitazione e di opposizione?</w:t>
      </w:r>
      <w:r>
        <w:rPr>
          <w:rStyle w:val="120"/>
        </w:rPr>
        <w:tab/>
      </w:r>
      <w:r>
        <w:rPr>
          <w:rStyle w:val="120"/>
        </w:rPr>
        <w:t>24</w:t>
      </w:r>
      <w:r>
        <w:fldChar w:fldCharType="end"/>
      </w:r>
      <w:r>
        <w:fldChar w:fldCharType="end"/>
      </w:r>
    </w:p>
    <w:p w14:paraId="4884A0BE">
      <w:pPr>
        <w:pStyle w:val="24"/>
        <w:tabs>
          <w:tab w:val="right" w:pos="9628"/>
        </w:tabs>
        <w:rPr>
          <w:rFonts w:eastAsiaTheme="minorEastAsia" w:cstheme="minorBidi"/>
          <w:caps w:val="0"/>
          <w:smallCaps w:val="0"/>
          <w:color w:val="00000A"/>
        </w:rPr>
      </w:pPr>
      <w:r>
        <w:fldChar w:fldCharType="begin"/>
      </w:r>
      <w:r>
        <w:instrText xml:space="preserve"> HYPERLINK \l "_Toc211869158" \h </w:instrText>
      </w:r>
      <w:r>
        <w:fldChar w:fldCharType="separate"/>
      </w:r>
      <w:r>
        <w:fldChar w:fldCharType="begin"/>
      </w:r>
      <w:r>
        <w:instrText xml:space="preserve">PAGEREF _Toc211869158 \h</w:instrText>
      </w:r>
      <w:r>
        <w:fldChar w:fldCharType="separate"/>
      </w:r>
      <w:r>
        <w:rPr>
          <w:rStyle w:val="120"/>
        </w:rPr>
        <w:t>Gli obblighi dei responsabili del trattamento sono definiti con chiarezza e disciplinati da un contratto o atto di nomina?</w:t>
      </w:r>
      <w:r>
        <w:rPr>
          <w:rStyle w:val="120"/>
        </w:rPr>
        <w:tab/>
      </w:r>
      <w:r>
        <w:rPr>
          <w:rStyle w:val="120"/>
        </w:rPr>
        <w:t>24</w:t>
      </w:r>
      <w:r>
        <w:fldChar w:fldCharType="end"/>
      </w:r>
      <w:r>
        <w:fldChar w:fldCharType="end"/>
      </w:r>
    </w:p>
    <w:p w14:paraId="4872D2F0">
      <w:pPr>
        <w:pStyle w:val="24"/>
        <w:tabs>
          <w:tab w:val="right" w:pos="9628"/>
        </w:tabs>
        <w:rPr>
          <w:rFonts w:eastAsiaTheme="minorEastAsia" w:cstheme="minorBidi"/>
          <w:caps w:val="0"/>
          <w:smallCaps w:val="0"/>
          <w:color w:val="00000A"/>
        </w:rPr>
      </w:pPr>
      <w:r>
        <w:fldChar w:fldCharType="begin"/>
      </w:r>
      <w:r>
        <w:instrText xml:space="preserve"> HYPERLINK \l "_Toc211869159" \h </w:instrText>
      </w:r>
      <w:r>
        <w:fldChar w:fldCharType="separate"/>
      </w:r>
      <w:r>
        <w:fldChar w:fldCharType="begin"/>
      </w:r>
      <w:r>
        <w:instrText xml:space="preserve">PAGEREF _Toc211869159 \h</w:instrText>
      </w:r>
      <w:r>
        <w:fldChar w:fldCharType="separate"/>
      </w:r>
      <w:r>
        <w:rPr>
          <w:rStyle w:val="120"/>
        </w:rPr>
        <w:t>In caso di trasferimento di dati al di fuori dell'Unione europea, i dati godono di una protezione equivalente</w:t>
      </w:r>
      <w:r>
        <w:rPr>
          <w:rStyle w:val="120"/>
          <w:rFonts w:hint="default"/>
          <w:lang w:val="it-IT"/>
        </w:rPr>
        <w:t>?</w:t>
      </w:r>
      <w:bookmarkStart w:id="49" w:name="_GoBack"/>
      <w:bookmarkEnd w:id="49"/>
      <w:r>
        <w:rPr>
          <w:rStyle w:val="120"/>
        </w:rPr>
        <w:tab/>
      </w:r>
      <w:r>
        <w:rPr>
          <w:rStyle w:val="120"/>
        </w:rPr>
        <w:t>25</w:t>
      </w:r>
      <w:r>
        <w:fldChar w:fldCharType="end"/>
      </w:r>
      <w:r>
        <w:fldChar w:fldCharType="end"/>
      </w:r>
    </w:p>
    <w:p w14:paraId="629C49AB">
      <w:pPr>
        <w:pStyle w:val="23"/>
        <w:tabs>
          <w:tab w:val="right" w:pos="9628"/>
        </w:tabs>
        <w:rPr>
          <w:rFonts w:asciiTheme="minorHAnsi" w:hAnsiTheme="minorHAnsi" w:eastAsiaTheme="minorEastAsia" w:cstheme="minorBidi"/>
          <w:bCs w:val="0"/>
          <w:caps w:val="0"/>
          <w:smallCaps w:val="0"/>
          <w:color w:val="00000A"/>
        </w:rPr>
      </w:pPr>
      <w:r>
        <w:fldChar w:fldCharType="begin"/>
      </w:r>
      <w:r>
        <w:instrText xml:space="preserve"> HYPERLINK \l "_Toc211869160" \h </w:instrText>
      </w:r>
      <w:r>
        <w:fldChar w:fldCharType="separate"/>
      </w:r>
      <w:r>
        <w:fldChar w:fldCharType="begin"/>
      </w:r>
      <w:r>
        <w:instrText xml:space="preserve">PAGEREF _Toc211869160 \h</w:instrText>
      </w:r>
      <w:r>
        <w:fldChar w:fldCharType="separate"/>
      </w:r>
      <w:r>
        <w:rPr>
          <w:rStyle w:val="120"/>
        </w:rPr>
        <w:t>Rischi</w:t>
      </w:r>
      <w:r>
        <w:rPr>
          <w:rStyle w:val="120"/>
        </w:rPr>
        <w:tab/>
      </w:r>
      <w:r>
        <w:rPr>
          <w:rStyle w:val="120"/>
        </w:rPr>
        <w:t>26</w:t>
      </w:r>
      <w:r>
        <w:fldChar w:fldCharType="end"/>
      </w:r>
      <w:r>
        <w:fldChar w:fldCharType="end"/>
      </w:r>
    </w:p>
    <w:p w14:paraId="122FA84B">
      <w:pPr>
        <w:pStyle w:val="24"/>
        <w:tabs>
          <w:tab w:val="right" w:pos="9628"/>
        </w:tabs>
        <w:rPr>
          <w:rFonts w:eastAsiaTheme="minorEastAsia" w:cstheme="minorBidi"/>
          <w:caps w:val="0"/>
          <w:smallCaps w:val="0"/>
          <w:color w:val="00000A"/>
        </w:rPr>
      </w:pPr>
      <w:r>
        <w:fldChar w:fldCharType="begin"/>
      </w:r>
      <w:r>
        <w:instrText xml:space="preserve"> HYPERLINK \l "_Toc211869161" \h </w:instrText>
      </w:r>
      <w:r>
        <w:fldChar w:fldCharType="separate"/>
      </w:r>
      <w:r>
        <w:fldChar w:fldCharType="begin"/>
      </w:r>
      <w:r>
        <w:instrText xml:space="preserve">PAGEREF _Toc211869161 \h</w:instrText>
      </w:r>
      <w:r>
        <w:fldChar w:fldCharType="separate"/>
      </w:r>
      <w:r>
        <w:rPr>
          <w:rStyle w:val="120"/>
        </w:rPr>
        <w:t>Misure esistenti o pianificate</w:t>
      </w:r>
      <w:r>
        <w:rPr>
          <w:rStyle w:val="120"/>
        </w:rPr>
        <w:tab/>
      </w:r>
      <w:r>
        <w:rPr>
          <w:rStyle w:val="120"/>
        </w:rPr>
        <w:t>26</w:t>
      </w:r>
      <w:r>
        <w:fldChar w:fldCharType="end"/>
      </w:r>
      <w:r>
        <w:fldChar w:fldCharType="end"/>
      </w:r>
    </w:p>
    <w:p w14:paraId="4A5CED8C">
      <w:pPr>
        <w:pStyle w:val="23"/>
        <w:tabs>
          <w:tab w:val="right" w:pos="9628"/>
        </w:tabs>
        <w:rPr>
          <w:rFonts w:asciiTheme="minorHAnsi" w:hAnsiTheme="minorHAnsi" w:eastAsiaTheme="minorEastAsia" w:cstheme="minorBidi"/>
          <w:bCs w:val="0"/>
          <w:caps w:val="0"/>
          <w:smallCaps w:val="0"/>
          <w:color w:val="00000A"/>
        </w:rPr>
      </w:pPr>
      <w:r>
        <w:fldChar w:fldCharType="begin"/>
      </w:r>
      <w:r>
        <w:instrText xml:space="preserve"> HYPERLINK \l "_Toc211869162" \h </w:instrText>
      </w:r>
      <w:r>
        <w:fldChar w:fldCharType="separate"/>
      </w:r>
      <w:r>
        <w:fldChar w:fldCharType="begin"/>
      </w:r>
      <w:r>
        <w:instrText xml:space="preserve">PAGEREF _Toc211869162 \h</w:instrText>
      </w:r>
      <w:r>
        <w:fldChar w:fldCharType="separate"/>
      </w:r>
      <w:r>
        <w:rPr>
          <w:rStyle w:val="120"/>
        </w:rPr>
        <w:t>Rischi</w:t>
      </w:r>
      <w:r>
        <w:rPr>
          <w:rStyle w:val="120"/>
        </w:rPr>
        <w:tab/>
      </w:r>
      <w:r>
        <w:rPr>
          <w:rStyle w:val="120"/>
        </w:rPr>
        <w:t>32</w:t>
      </w:r>
      <w:r>
        <w:fldChar w:fldCharType="end"/>
      </w:r>
      <w:r>
        <w:fldChar w:fldCharType="end"/>
      </w:r>
    </w:p>
    <w:p w14:paraId="13DF2B79">
      <w:pPr>
        <w:pStyle w:val="24"/>
        <w:tabs>
          <w:tab w:val="right" w:pos="9628"/>
        </w:tabs>
        <w:rPr>
          <w:rFonts w:eastAsiaTheme="minorEastAsia" w:cstheme="minorBidi"/>
          <w:caps w:val="0"/>
          <w:smallCaps w:val="0"/>
          <w:color w:val="00000A"/>
        </w:rPr>
      </w:pPr>
      <w:r>
        <w:fldChar w:fldCharType="begin"/>
      </w:r>
      <w:r>
        <w:instrText xml:space="preserve"> HYPERLINK \l "_Toc211869163" \h </w:instrText>
      </w:r>
      <w:r>
        <w:fldChar w:fldCharType="separate"/>
      </w:r>
      <w:r>
        <w:fldChar w:fldCharType="begin"/>
      </w:r>
      <w:r>
        <w:instrText xml:space="preserve">PAGEREF _Toc211869163 \h</w:instrText>
      </w:r>
      <w:r>
        <w:fldChar w:fldCharType="separate"/>
      </w:r>
      <w:r>
        <w:rPr>
          <w:rStyle w:val="120"/>
        </w:rPr>
        <w:t>Accesso illegittimo ai dati</w:t>
      </w:r>
      <w:r>
        <w:rPr>
          <w:rStyle w:val="120"/>
        </w:rPr>
        <w:tab/>
      </w:r>
      <w:r>
        <w:rPr>
          <w:rStyle w:val="120"/>
        </w:rPr>
        <w:t>32</w:t>
      </w:r>
      <w:r>
        <w:fldChar w:fldCharType="end"/>
      </w:r>
      <w:r>
        <w:fldChar w:fldCharType="end"/>
      </w:r>
    </w:p>
    <w:p w14:paraId="3829498C">
      <w:pPr>
        <w:pStyle w:val="23"/>
        <w:tabs>
          <w:tab w:val="right" w:pos="9628"/>
        </w:tabs>
        <w:rPr>
          <w:rFonts w:asciiTheme="minorHAnsi" w:hAnsiTheme="minorHAnsi" w:eastAsiaTheme="minorEastAsia" w:cstheme="minorBidi"/>
          <w:bCs w:val="0"/>
          <w:caps w:val="0"/>
          <w:smallCaps w:val="0"/>
          <w:color w:val="00000A"/>
        </w:rPr>
      </w:pPr>
      <w:r>
        <w:fldChar w:fldCharType="begin"/>
      </w:r>
      <w:r>
        <w:instrText xml:space="preserve"> HYPERLINK \l "_Toc211869164" \h </w:instrText>
      </w:r>
      <w:r>
        <w:fldChar w:fldCharType="separate"/>
      </w:r>
      <w:r>
        <w:fldChar w:fldCharType="begin"/>
      </w:r>
      <w:r>
        <w:instrText xml:space="preserve">PAGEREF _Toc211869164 \h</w:instrText>
      </w:r>
      <w:r>
        <w:fldChar w:fldCharType="separate"/>
      </w:r>
      <w:r>
        <w:rPr>
          <w:rStyle w:val="120"/>
        </w:rPr>
        <w:t>Modifiche indesiderate dei dati</w:t>
      </w:r>
      <w:r>
        <w:rPr>
          <w:rStyle w:val="120"/>
        </w:rPr>
        <w:tab/>
      </w:r>
      <w:r>
        <w:rPr>
          <w:rStyle w:val="120"/>
        </w:rPr>
        <w:t>34</w:t>
      </w:r>
      <w:r>
        <w:fldChar w:fldCharType="end"/>
      </w:r>
      <w:r>
        <w:fldChar w:fldCharType="end"/>
      </w:r>
    </w:p>
    <w:p w14:paraId="380128F0">
      <w:pPr>
        <w:pStyle w:val="23"/>
        <w:tabs>
          <w:tab w:val="right" w:pos="9628"/>
        </w:tabs>
        <w:rPr>
          <w:rFonts w:asciiTheme="minorHAnsi" w:hAnsiTheme="minorHAnsi" w:eastAsiaTheme="minorEastAsia" w:cstheme="minorBidi"/>
          <w:bCs w:val="0"/>
          <w:caps w:val="0"/>
          <w:smallCaps w:val="0"/>
          <w:color w:val="00000A"/>
        </w:rPr>
      </w:pPr>
      <w:r>
        <w:fldChar w:fldCharType="begin"/>
      </w:r>
      <w:r>
        <w:instrText xml:space="preserve"> HYPERLINK \l "_Toc211869165" \h </w:instrText>
      </w:r>
      <w:r>
        <w:fldChar w:fldCharType="separate"/>
      </w:r>
      <w:r>
        <w:fldChar w:fldCharType="begin"/>
      </w:r>
      <w:r>
        <w:instrText xml:space="preserve">PAGEREF _Toc211869165 \h</w:instrText>
      </w:r>
      <w:r>
        <w:fldChar w:fldCharType="separate"/>
      </w:r>
      <w:r>
        <w:rPr>
          <w:rStyle w:val="120"/>
        </w:rPr>
        <w:t>Perdita di dati</w:t>
      </w:r>
      <w:r>
        <w:rPr>
          <w:rStyle w:val="120"/>
        </w:rPr>
        <w:tab/>
      </w:r>
      <w:r>
        <w:rPr>
          <w:rStyle w:val="120"/>
        </w:rPr>
        <w:t>36</w:t>
      </w:r>
      <w:r>
        <w:fldChar w:fldCharType="end"/>
      </w:r>
      <w:r>
        <w:fldChar w:fldCharType="end"/>
      </w:r>
    </w:p>
    <w:p w14:paraId="4F028AC6">
      <w:pPr>
        <w:pStyle w:val="23"/>
        <w:tabs>
          <w:tab w:val="right" w:pos="9628"/>
        </w:tabs>
        <w:rPr>
          <w:rFonts w:asciiTheme="minorHAnsi" w:hAnsiTheme="minorHAnsi" w:eastAsiaTheme="minorEastAsia" w:cstheme="minorBidi"/>
          <w:bCs w:val="0"/>
          <w:caps w:val="0"/>
          <w:smallCaps w:val="0"/>
          <w:color w:val="00000A"/>
        </w:rPr>
      </w:pPr>
      <w:r>
        <w:fldChar w:fldCharType="begin"/>
      </w:r>
      <w:r>
        <w:instrText xml:space="preserve"> HYPERLINK \l "_Toc211869166" \h </w:instrText>
      </w:r>
      <w:r>
        <w:fldChar w:fldCharType="separate"/>
      </w:r>
      <w:r>
        <w:fldChar w:fldCharType="begin"/>
      </w:r>
      <w:r>
        <w:instrText xml:space="preserve">PAGEREF _Toc211869166 \h</w:instrText>
      </w:r>
      <w:r>
        <w:fldChar w:fldCharType="separate"/>
      </w:r>
      <w:r>
        <w:rPr>
          <w:rStyle w:val="120"/>
        </w:rPr>
        <w:t>Piano d’azione</w:t>
      </w:r>
      <w:r>
        <w:rPr>
          <w:rStyle w:val="120"/>
        </w:rPr>
        <w:tab/>
      </w:r>
      <w:r>
        <w:rPr>
          <w:rStyle w:val="120"/>
        </w:rPr>
        <w:t>38</w:t>
      </w:r>
      <w:r>
        <w:fldChar w:fldCharType="end"/>
      </w:r>
      <w:r>
        <w:fldChar w:fldCharType="end"/>
      </w:r>
    </w:p>
    <w:p w14:paraId="7F58959D">
      <w:pPr>
        <w:pStyle w:val="24"/>
        <w:tabs>
          <w:tab w:val="right" w:pos="9628"/>
        </w:tabs>
        <w:rPr>
          <w:rFonts w:eastAsiaTheme="minorEastAsia" w:cstheme="minorBidi"/>
          <w:caps w:val="0"/>
          <w:smallCaps w:val="0"/>
          <w:color w:val="00000A"/>
        </w:rPr>
      </w:pPr>
      <w:r>
        <w:fldChar w:fldCharType="begin"/>
      </w:r>
      <w:r>
        <w:instrText xml:space="preserve"> HYPERLINK \l "_Toc211869167" \h </w:instrText>
      </w:r>
      <w:r>
        <w:fldChar w:fldCharType="separate"/>
      </w:r>
      <w:r>
        <w:fldChar w:fldCharType="begin"/>
      </w:r>
      <w:r>
        <w:instrText xml:space="preserve">PAGEREF _Toc211869167 \h</w:instrText>
      </w:r>
      <w:r>
        <w:fldChar w:fldCharType="separate"/>
      </w:r>
      <w:r>
        <w:rPr>
          <w:rStyle w:val="120"/>
        </w:rPr>
        <w:t>Principi fondamentali</w:t>
      </w:r>
      <w:r>
        <w:rPr>
          <w:rStyle w:val="120"/>
        </w:rPr>
        <w:tab/>
      </w:r>
      <w:r>
        <w:rPr>
          <w:rStyle w:val="120"/>
        </w:rPr>
        <w:t>38</w:t>
      </w:r>
      <w:r>
        <w:fldChar w:fldCharType="end"/>
      </w:r>
      <w:r>
        <w:fldChar w:fldCharType="end"/>
      </w:r>
    </w:p>
    <w:p w14:paraId="6E5D7664">
      <w:pPr>
        <w:pStyle w:val="24"/>
        <w:tabs>
          <w:tab w:val="right" w:pos="9628"/>
        </w:tabs>
        <w:rPr>
          <w:rFonts w:eastAsiaTheme="minorEastAsia" w:cstheme="minorBidi"/>
          <w:caps w:val="0"/>
          <w:smallCaps w:val="0"/>
          <w:color w:val="00000A"/>
        </w:rPr>
      </w:pPr>
      <w:r>
        <w:fldChar w:fldCharType="begin"/>
      </w:r>
      <w:r>
        <w:instrText xml:space="preserve"> HYPERLINK \l "_Toc211869168" \h </w:instrText>
      </w:r>
      <w:r>
        <w:fldChar w:fldCharType="separate"/>
      </w:r>
      <w:r>
        <w:fldChar w:fldCharType="begin"/>
      </w:r>
      <w:r>
        <w:instrText xml:space="preserve">PAGEREF _Toc211869168 \h</w:instrText>
      </w:r>
      <w:r>
        <w:fldChar w:fldCharType="separate"/>
      </w:r>
      <w:r>
        <w:rPr>
          <w:rStyle w:val="120"/>
        </w:rPr>
        <w:t>Misure pianificate</w:t>
      </w:r>
      <w:r>
        <w:rPr>
          <w:rStyle w:val="120"/>
        </w:rPr>
        <w:tab/>
      </w:r>
      <w:r>
        <w:rPr>
          <w:rStyle w:val="120"/>
        </w:rPr>
        <w:t>38</w:t>
      </w:r>
      <w:r>
        <w:fldChar w:fldCharType="end"/>
      </w:r>
      <w:r>
        <w:fldChar w:fldCharType="end"/>
      </w:r>
    </w:p>
    <w:p w14:paraId="0B9017AD">
      <w:pPr>
        <w:pStyle w:val="22"/>
        <w:tabs>
          <w:tab w:val="right" w:pos="9628"/>
        </w:tabs>
        <w:rPr>
          <w:rFonts w:asciiTheme="minorHAnsi" w:hAnsiTheme="minorHAnsi" w:eastAsiaTheme="minorEastAsia" w:cstheme="minorBidi"/>
          <w:bCs w:val="0"/>
          <w:caps w:val="0"/>
          <w:smallCaps w:val="0"/>
          <w:color w:val="00000A"/>
          <w:u w:val="none"/>
        </w:rPr>
      </w:pPr>
      <w:r>
        <w:fldChar w:fldCharType="begin"/>
      </w:r>
      <w:r>
        <w:instrText xml:space="preserve"> HYPERLINK \l "_Toc211869169" \h </w:instrText>
      </w:r>
      <w:r>
        <w:fldChar w:fldCharType="separate"/>
      </w:r>
      <w:r>
        <w:fldChar w:fldCharType="begin"/>
      </w:r>
      <w:r>
        <w:instrText xml:space="preserve">PAGEREF _Toc211869169 \h</w:instrText>
      </w:r>
      <w:r>
        <w:fldChar w:fldCharType="separate"/>
      </w:r>
      <w:r>
        <w:rPr>
          <w:rStyle w:val="120"/>
        </w:rPr>
        <w:t>Analisi dei rischi e azioni per mitigare</w:t>
      </w:r>
      <w:r>
        <w:rPr>
          <w:rStyle w:val="120"/>
        </w:rPr>
        <w:tab/>
      </w:r>
      <w:r>
        <w:rPr>
          <w:rStyle w:val="120"/>
        </w:rPr>
        <w:t>39</w:t>
      </w:r>
      <w:r>
        <w:fldChar w:fldCharType="end"/>
      </w:r>
      <w:r>
        <w:fldChar w:fldCharType="end"/>
      </w:r>
    </w:p>
    <w:p w14:paraId="7CC5D3EC">
      <w:pPr>
        <w:pStyle w:val="23"/>
        <w:tabs>
          <w:tab w:val="right" w:pos="9628"/>
        </w:tabs>
        <w:rPr>
          <w:rFonts w:asciiTheme="minorHAnsi" w:hAnsiTheme="minorHAnsi" w:eastAsiaTheme="minorEastAsia" w:cstheme="minorBidi"/>
          <w:bCs w:val="0"/>
          <w:caps w:val="0"/>
          <w:smallCaps w:val="0"/>
          <w:color w:val="00000A"/>
        </w:rPr>
      </w:pPr>
      <w:r>
        <w:fldChar w:fldCharType="begin"/>
      </w:r>
      <w:r>
        <w:instrText xml:space="preserve"> HYPERLINK \l "_Toc211869170" \h </w:instrText>
      </w:r>
      <w:r>
        <w:fldChar w:fldCharType="separate"/>
      </w:r>
      <w:r>
        <w:fldChar w:fldCharType="begin"/>
      </w:r>
      <w:r>
        <w:instrText xml:space="preserve">PAGEREF _Toc211869170 \h</w:instrText>
      </w:r>
      <w:r>
        <w:fldChar w:fldCharType="separate"/>
      </w:r>
      <w:r>
        <w:rPr>
          <w:rStyle w:val="120"/>
        </w:rPr>
        <w:t>Calcolo del rischio privacy</w:t>
      </w:r>
      <w:r>
        <w:rPr>
          <w:rStyle w:val="120"/>
        </w:rPr>
        <w:tab/>
      </w:r>
      <w:r>
        <w:rPr>
          <w:rStyle w:val="120"/>
        </w:rPr>
        <w:t>40</w:t>
      </w:r>
      <w:r>
        <w:fldChar w:fldCharType="end"/>
      </w:r>
      <w:r>
        <w:fldChar w:fldCharType="end"/>
      </w:r>
    </w:p>
    <w:p w14:paraId="4C786AF1">
      <w:pPr>
        <w:pStyle w:val="23"/>
        <w:tabs>
          <w:tab w:val="right" w:pos="9628"/>
        </w:tabs>
        <w:rPr>
          <w:rFonts w:asciiTheme="minorHAnsi" w:hAnsiTheme="minorHAnsi" w:eastAsiaTheme="minorEastAsia" w:cstheme="minorBidi"/>
          <w:bCs w:val="0"/>
          <w:caps w:val="0"/>
          <w:smallCaps w:val="0"/>
          <w:color w:val="00000A"/>
        </w:rPr>
      </w:pPr>
      <w:r>
        <w:fldChar w:fldCharType="begin"/>
      </w:r>
      <w:r>
        <w:instrText xml:space="preserve"> HYPERLINK \l "_Toc211869171" \h </w:instrText>
      </w:r>
      <w:r>
        <w:fldChar w:fldCharType="separate"/>
      </w:r>
      <w:r>
        <w:fldChar w:fldCharType="begin"/>
      </w:r>
      <w:r>
        <w:instrText xml:space="preserve">PAGEREF _Toc211869171 \h</w:instrText>
      </w:r>
      <w:r>
        <w:fldChar w:fldCharType="separate"/>
      </w:r>
      <w:r>
        <w:rPr>
          <w:rStyle w:val="120"/>
        </w:rPr>
        <w:t>Livello di rischio per la PIA e consultazione preventiva</w:t>
      </w:r>
      <w:r>
        <w:rPr>
          <w:rStyle w:val="120"/>
        </w:rPr>
        <w:tab/>
      </w:r>
      <w:r>
        <w:rPr>
          <w:rStyle w:val="120"/>
        </w:rPr>
        <w:t>47</w:t>
      </w:r>
      <w:r>
        <w:fldChar w:fldCharType="end"/>
      </w:r>
      <w:r>
        <w:fldChar w:fldCharType="end"/>
      </w:r>
    </w:p>
    <w:p w14:paraId="5B9A0743">
      <w:pPr>
        <w:pStyle w:val="24"/>
        <w:tabs>
          <w:tab w:val="right" w:pos="9628"/>
        </w:tabs>
        <w:rPr>
          <w:rFonts w:eastAsiaTheme="minorEastAsia" w:cstheme="minorBidi"/>
          <w:caps w:val="0"/>
          <w:smallCaps w:val="0"/>
          <w:color w:val="00000A"/>
        </w:rPr>
      </w:pPr>
      <w:r>
        <w:fldChar w:fldCharType="begin"/>
      </w:r>
      <w:r>
        <w:instrText xml:space="preserve"> HYPERLINK \l "_Toc211869172" \h </w:instrText>
      </w:r>
      <w:r>
        <w:fldChar w:fldCharType="separate"/>
      </w:r>
      <w:r>
        <w:fldChar w:fldCharType="begin"/>
      </w:r>
      <w:r>
        <w:instrText xml:space="preserve">PAGEREF _Toc211869172 \h</w:instrText>
      </w:r>
      <w:r>
        <w:fldChar w:fldCharType="separate"/>
      </w:r>
      <w:r>
        <w:rPr>
          <w:rStyle w:val="120"/>
        </w:rPr>
        <w:t>Mappatura del rischio</w:t>
      </w:r>
      <w:r>
        <w:rPr>
          <w:rStyle w:val="120"/>
        </w:rPr>
        <w:tab/>
      </w:r>
      <w:r>
        <w:rPr>
          <w:rStyle w:val="120"/>
        </w:rPr>
        <w:t>51</w:t>
      </w:r>
      <w:r>
        <w:fldChar w:fldCharType="end"/>
      </w:r>
      <w:r>
        <w:fldChar w:fldCharType="end"/>
      </w:r>
    </w:p>
    <w:p w14:paraId="01CA5F5B">
      <w:r>
        <w:fldChar w:fldCharType="end"/>
      </w:r>
    </w:p>
    <w:p w14:paraId="7FA5BEA3"/>
    <w:p w14:paraId="7E0BF362">
      <w:pPr>
        <w:pStyle w:val="2"/>
      </w:pPr>
      <w:bookmarkStart w:id="0" w:name="_Toc211869138"/>
      <w:r>
        <w:t>Premessa e metodologia utilizzata</w:t>
      </w:r>
      <w:bookmarkEnd w:id="0"/>
    </w:p>
    <w:p w14:paraId="61CA6D25"/>
    <w:p w14:paraId="6FD3F0B2">
      <w:pPr>
        <w:pStyle w:val="3"/>
        <w:shd w:val="clear" w:color="auto" w:fill="D9E2F3"/>
        <w:spacing w:line="240" w:lineRule="auto"/>
      </w:pPr>
      <w:bookmarkStart w:id="1" w:name="_Toc211869139"/>
      <w:r>
        <w:t>Premessa</w:t>
      </w:r>
      <w:bookmarkEnd w:id="1"/>
    </w:p>
    <w:p w14:paraId="66110AD5">
      <w:pPr>
        <w:spacing w:line="276" w:lineRule="auto"/>
      </w:pPr>
    </w:p>
    <w:p w14:paraId="4AD9B69C">
      <w:pPr>
        <w:spacing w:line="276" w:lineRule="auto"/>
        <w:rPr>
          <w:b/>
          <w:bCs/>
        </w:rPr>
      </w:pPr>
      <w:r>
        <w:t xml:space="preserve">La Dpia (Data Protection Impact Assesment) è una procedura prevista dall'articolo 35 del Regolamento (UE) 2016/679, cioè del </w:t>
      </w:r>
      <w:r>
        <w:rPr>
          <w:bCs/>
        </w:rPr>
        <w:t>Regolamento generale sulla protezione dei dati (GDPR)</w:t>
      </w:r>
      <w:r>
        <w:t>. Serve a descrivere un trattamento di dati per valutarne la necessità, la proporzionalità e i relativi rischi, con l'obiettivo di stabilire misure idonee ad affrontare i rischi per i diritti e le libertà delle persone fisiche di cui si effettua il trattamento dei dati.</w:t>
      </w:r>
    </w:p>
    <w:p w14:paraId="442DBDEE">
      <w:pPr>
        <w:spacing w:line="276" w:lineRule="auto"/>
      </w:pPr>
      <w:r>
        <w:t>Una DPIA può riguardare un singolo trattamento oppure più trattamenti che presentano analogie in termini di natura, ambito, contesto, finalità e rischi.</w:t>
      </w:r>
    </w:p>
    <w:p w14:paraId="0C3E50D5">
      <w:pPr>
        <w:spacing w:line="276" w:lineRule="auto"/>
      </w:pPr>
      <w:r>
        <w:t>Il Regolamento fa riferimento all'obbligo del titolare di tenere conto dei rischi che i trattamenti possono comportare per i diritti e le libertà delle persone:</w:t>
      </w:r>
    </w:p>
    <w:p w14:paraId="5A75588D">
      <w:pPr>
        <w:pStyle w:val="339"/>
        <w:numPr>
          <w:ilvl w:val="0"/>
          <w:numId w:val="1"/>
        </w:numPr>
        <w:spacing w:line="276" w:lineRule="auto"/>
        <w:ind w:left="720" w:right="-1" w:hanging="360"/>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Nell'art. 24, indicando che il Titolare deve sempre essere in grado di dimostrare di aver adottato tutte le misure necessarie affinché il trattamento sia conforme al Regolamento;</w:t>
      </w:r>
    </w:p>
    <w:p w14:paraId="6B0ED84D">
      <w:pPr>
        <w:pStyle w:val="339"/>
        <w:numPr>
          <w:ilvl w:val="0"/>
          <w:numId w:val="1"/>
        </w:numPr>
        <w:spacing w:line="276" w:lineRule="auto"/>
        <w:ind w:left="720" w:right="-1" w:hanging="360"/>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Nell'art. 35, che prevede una specifica valutazione di impatto quando i trattamenti possono presentare rischi elevati per gli interessati, specifica i casi in cui è necessaria e procedimentalizza le modalità da seguire e gli elementi da tenere in considerazione. Prevede inoltre un ruolo rilevante delle Autorità di controllo;</w:t>
      </w:r>
    </w:p>
    <w:p w14:paraId="407E27B3">
      <w:pPr>
        <w:pStyle w:val="339"/>
        <w:numPr>
          <w:ilvl w:val="0"/>
          <w:numId w:val="1"/>
        </w:numPr>
        <w:spacing w:line="276" w:lineRule="auto"/>
        <w:ind w:left="720" w:right="-1" w:hanging="360"/>
      </w:pPr>
      <w:r>
        <w:rPr>
          <w:rFonts w:ascii="Calibri Light" w:hAnsi="Calibri Light" w:eastAsia="Calibri" w:cstheme="majorHAnsi"/>
          <w:color w:val="000000"/>
          <w:kern w:val="2"/>
          <w:lang w:eastAsia="it-IT"/>
          <w14:ligatures w14:val="standardContextual"/>
        </w:rPr>
        <w:t>Nell'art. 36 che stabilisce la consultazione preventiva obbligatoria dell'Autorità di controllo quando il titolare ritiene che i trattamenti richiedano misure specifiche per attenuarne i rischi.</w:t>
      </w:r>
    </w:p>
    <w:p w14:paraId="4545A017">
      <w:pPr>
        <w:spacing w:line="276" w:lineRule="auto"/>
      </w:pPr>
      <w:r>
        <w:t>Per ogni trattamento è quindi necessario effettuare un'analisi dei rischi (art. 24) per decidere se il rischio per i cittadini sia elevato e quindi se è necessario procedere con una valutazione di impatto (art. 35) per individuare le misure specifiche da adottare per minimizzare il rischio. Se del caso, successivamente procedere con una consultazione preventiva dell'Autorità di controllo.</w:t>
      </w:r>
    </w:p>
    <w:p w14:paraId="7469655D">
      <w:pPr>
        <w:spacing w:line="276" w:lineRule="auto"/>
      </w:pPr>
      <w:r>
        <w:t xml:space="preserve">Le linee guida del WP29 </w:t>
      </w:r>
      <w:r>
        <w:rPr>
          <w:rFonts w:asciiTheme="majorHAnsi" w:hAnsiTheme="majorHAnsi"/>
        </w:rPr>
        <w:t>(</w:t>
      </w:r>
      <w:r>
        <w:rPr>
          <w:rFonts w:eastAsia="Arial"/>
          <w:color w:val="1F1F1F"/>
          <w:shd w:val="clear" w:fill="FFFFFF"/>
        </w:rPr>
        <w:t xml:space="preserve">Gruppo di Lavoro Articolo 29) </w:t>
      </w:r>
      <w:r>
        <w:rPr>
          <w:rFonts w:asciiTheme="majorHAnsi" w:hAnsiTheme="majorHAnsi"/>
        </w:rPr>
        <w:t>forniscono</w:t>
      </w:r>
      <w:r>
        <w:t xml:space="preserve"> preziose indicazioni su come va effettuata una DPIA:</w:t>
      </w:r>
    </w:p>
    <w:p w14:paraId="4370FD82">
      <w:pPr>
        <w:spacing w:line="276" w:lineRule="auto"/>
      </w:pPr>
    </w:p>
    <w:p w14:paraId="299FA01E">
      <w:pPr>
        <w:pStyle w:val="339"/>
        <w:numPr>
          <w:ilvl w:val="0"/>
          <w:numId w:val="2"/>
        </w:numPr>
        <w:spacing w:line="276" w:lineRule="auto"/>
        <w:ind w:left="720" w:right="-1" w:hanging="360"/>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L'analisi dei rischi va fatta prima che il trattamento inizi e rispetto a ciascun singolo trattamento;</w:t>
      </w:r>
    </w:p>
    <w:p w14:paraId="5A1794D7">
      <w:pPr>
        <w:pStyle w:val="339"/>
        <w:numPr>
          <w:ilvl w:val="0"/>
          <w:numId w:val="2"/>
        </w:numPr>
        <w:spacing w:line="276" w:lineRule="auto"/>
        <w:ind w:left="720" w:right="-1" w:hanging="360"/>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Deve essere prestata attenzione anche alle componenti tecnologiche utilizzate;</w:t>
      </w:r>
    </w:p>
    <w:p w14:paraId="72ABCC42">
      <w:pPr>
        <w:pStyle w:val="339"/>
        <w:numPr>
          <w:ilvl w:val="0"/>
          <w:numId w:val="2"/>
        </w:numPr>
        <w:spacing w:line="276" w:lineRule="auto"/>
        <w:ind w:left="720" w:right="-1" w:hanging="360"/>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Deve tenere conto dei casi di cui all'art. 35 e delle specifiche indicate ai punti 71, 75 e 91 dei Considerando;</w:t>
      </w:r>
    </w:p>
    <w:p w14:paraId="7FB15A51">
      <w:pPr>
        <w:pStyle w:val="339"/>
        <w:numPr>
          <w:ilvl w:val="0"/>
          <w:numId w:val="2"/>
        </w:numPr>
        <w:spacing w:line="276" w:lineRule="auto"/>
        <w:ind w:left="720" w:right="-1" w:hanging="360"/>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Deve essere svolta con una metodologia che tenga conto dei criteri e degli elementi indicati.</w:t>
      </w:r>
    </w:p>
    <w:p w14:paraId="0FB4CF21">
      <w:pPr>
        <w:spacing w:line="276" w:lineRule="auto"/>
      </w:pPr>
    </w:p>
    <w:p w14:paraId="68B1F430">
      <w:pPr>
        <w:spacing w:line="276" w:lineRule="auto"/>
      </w:pPr>
      <w:r>
        <w:t>Se al termine dell'analisi il titolare, sentito il DPO, ritiene che non sussistano rischi elevati può limitarsi a dare applicazione a quanto richiesto dall'art. 24. Tuttavia deve comunque giustificare per iscritto le valutazioni fatte e tenere un registro dei trattamenti svolti.</w:t>
      </w:r>
    </w:p>
    <w:p w14:paraId="6D156CFC">
      <w:pPr>
        <w:spacing w:line="276" w:lineRule="auto"/>
      </w:pPr>
      <w:r>
        <w:t>Quando invece risultino rischi elevati, il titolare deve adottare misure tecniche adeguate a minimizzare il rischio. Spetta al titolare individuarle, sentito il DPO. Può anche consultare gli interessati o i loro rappresentanti.</w:t>
      </w:r>
    </w:p>
    <w:p w14:paraId="25CCB92E">
      <w:pPr>
        <w:spacing w:line="276" w:lineRule="auto"/>
      </w:pPr>
      <w:r>
        <w:t>È bene anche indicare nel documento della DPIA i soggetti che hanno svolto l'analisi e individuato le misure necessarie.</w:t>
      </w:r>
    </w:p>
    <w:p w14:paraId="5D3ED178">
      <w:pPr>
        <w:spacing w:line="276" w:lineRule="auto"/>
      </w:pPr>
      <w:r>
        <w:t>Le linee guida fissano i criteri da seguire per individuare le misure idonee a diminuire i rischi, distinguendo tra quelle finalizzate a ridurre il rischio e quelle a dimostrare la conformità con il Regolamento.</w:t>
      </w:r>
    </w:p>
    <w:p w14:paraId="210E8685">
      <w:pPr>
        <w:spacing w:line="276" w:lineRule="auto"/>
      </w:pPr>
      <w:r>
        <w:t>La consultazione preventiva dell'Autorità di controllo è necessaria solo quando il titolare non riesce a individuare misure sufficienti per ridurre i rischi a un livello accettabile.</w:t>
      </w:r>
    </w:p>
    <w:p w14:paraId="6D472934">
      <w:pPr>
        <w:spacing w:line="276" w:lineRule="auto"/>
      </w:pPr>
    </w:p>
    <w:p w14:paraId="16A761B4">
      <w:pPr>
        <w:pStyle w:val="339"/>
        <w:numPr>
          <w:ilvl w:val="0"/>
          <w:numId w:val="3"/>
        </w:numPr>
        <w:spacing w:line="276" w:lineRule="auto"/>
        <w:ind w:left="720" w:right="-1" w:hanging="360"/>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L'applicazione del Regolamento si basa sul principio di accountability, che pone l'accento sulla "responsabilizzazione" di titolari e responsabili nell'adozione di misure proattive per assicurare l'applicazione del regolamento;</w:t>
      </w:r>
    </w:p>
    <w:p w14:paraId="3844D1F6">
      <w:pPr>
        <w:pStyle w:val="339"/>
        <w:numPr>
          <w:ilvl w:val="0"/>
          <w:numId w:val="3"/>
        </w:numPr>
        <w:spacing w:line="276" w:lineRule="auto"/>
        <w:ind w:left="720" w:right="-1" w:hanging="360"/>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Il Regolamento non richiede una valutazione d'impatto per ciascun trattamento che può presentare rischi, ma solo qualora possa presentare un "rischio elevato";</w:t>
      </w:r>
    </w:p>
    <w:p w14:paraId="6501FC17">
      <w:pPr>
        <w:pStyle w:val="339"/>
        <w:numPr>
          <w:ilvl w:val="0"/>
          <w:numId w:val="3"/>
        </w:numPr>
        <w:spacing w:line="276" w:lineRule="auto"/>
        <w:ind w:left="720" w:right="-1" w:hanging="360"/>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Il WP29 raccomanda comunque di effettuare la DPIA in tutti i casi in cui non è chiaro se sia richiesta, in quanto è uno strumento utile per rispettare la legge;</w:t>
      </w:r>
    </w:p>
    <w:p w14:paraId="4F712B38">
      <w:pPr>
        <w:pStyle w:val="339"/>
        <w:numPr>
          <w:ilvl w:val="0"/>
          <w:numId w:val="3"/>
        </w:numPr>
        <w:spacing w:line="276" w:lineRule="auto"/>
        <w:ind w:left="720" w:right="-1" w:hanging="360"/>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L'articolo 35 del Regolamento fornisce esempi di casi nei quali un trattamento "possa presentare rischi elevati", tra cui la sorveglianza sistematica su larga scala di una zona accessibile al pubblico;</w:t>
      </w:r>
    </w:p>
    <w:p w14:paraId="7BC17139">
      <w:pPr>
        <w:pStyle w:val="339"/>
        <w:numPr>
          <w:ilvl w:val="0"/>
          <w:numId w:val="3"/>
        </w:numPr>
        <w:spacing w:line="276" w:lineRule="auto"/>
        <w:ind w:left="720" w:right="-1" w:hanging="360"/>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Il Garante italiano ha chiarito che quando un trattamento può comportare un rischio elevato (ad es. per monitoraggio sistematico, gran numero di soggetti, dati sensibili), il Regolamento obbliga a svolgere una valutazione di impatto prima di iniziarlo. Ciò esprime la responsabilizzazione dei titolari;</w:t>
      </w:r>
    </w:p>
    <w:p w14:paraId="4A580D26">
      <w:pPr>
        <w:pStyle w:val="339"/>
        <w:numPr>
          <w:ilvl w:val="0"/>
          <w:numId w:val="3"/>
        </w:numPr>
        <w:spacing w:line="276" w:lineRule="auto"/>
        <w:ind w:left="720" w:right="-1" w:hanging="360"/>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Le linee guida del WP29 precisano quando una valutazione di impatto è obbligatoria, oltre ai casi espressamente indicati dal Regolamento, e quando non è richiesta. Indicano che costituisce una buona prassi al di là dei requisiti di legge, permettendo di realizzare la protezione dei dati fin dalla progettazione di qualsiasi trattamento.</w:t>
      </w:r>
    </w:p>
    <w:p w14:paraId="18A2630E">
      <w:pPr>
        <w:spacing w:line="276" w:lineRule="auto"/>
      </w:pPr>
    </w:p>
    <w:p w14:paraId="011FF638">
      <w:pPr>
        <w:spacing w:line="276" w:lineRule="auto"/>
      </w:pPr>
      <w:r>
        <w:t>I criteri specifici individuati dal WP29 per determinare quando la DPIA è obbligatoria includono:</w:t>
      </w:r>
    </w:p>
    <w:p w14:paraId="59DB2881">
      <w:pPr>
        <w:spacing w:line="276" w:lineRule="auto"/>
      </w:pPr>
    </w:p>
    <w:p w14:paraId="42E69FAC">
      <w:pPr>
        <w:pStyle w:val="339"/>
        <w:numPr>
          <w:ilvl w:val="0"/>
          <w:numId w:val="4"/>
        </w:numPr>
        <w:spacing w:line="276" w:lineRule="auto"/>
        <w:ind w:left="720" w:right="-1" w:hanging="360"/>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Monitoraggio sistematico (es: videosorveglianza), specie su larga scala di zone accessibili al pubblico;</w:t>
      </w:r>
    </w:p>
    <w:p w14:paraId="2D295EC1">
      <w:pPr>
        <w:pStyle w:val="339"/>
        <w:numPr>
          <w:ilvl w:val="0"/>
          <w:numId w:val="4"/>
        </w:numPr>
        <w:spacing w:line="276" w:lineRule="auto"/>
        <w:ind w:left="720" w:right="-1" w:hanging="360"/>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Dati sensibili o dati aventi carattere altamente personale;</w:t>
      </w:r>
    </w:p>
    <w:p w14:paraId="0D9B088D">
      <w:pPr>
        <w:pStyle w:val="339"/>
        <w:numPr>
          <w:ilvl w:val="0"/>
          <w:numId w:val="4"/>
        </w:numPr>
        <w:spacing w:line="276" w:lineRule="auto"/>
        <w:ind w:left="720" w:right="-1" w:hanging="360"/>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Trattamenti di dati personali su larga scala;</w:t>
      </w:r>
    </w:p>
    <w:p w14:paraId="6F116FCE">
      <w:pPr>
        <w:pStyle w:val="339"/>
        <w:numPr>
          <w:ilvl w:val="0"/>
          <w:numId w:val="4"/>
        </w:numPr>
        <w:spacing w:line="276" w:lineRule="auto"/>
        <w:ind w:left="720" w:right="-1" w:hanging="360"/>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 xml:space="preserve">Dati relativi a interessati vulnerabili. </w:t>
      </w:r>
    </w:p>
    <w:p w14:paraId="552E3F37">
      <w:pPr>
        <w:spacing w:line="276" w:lineRule="auto"/>
      </w:pPr>
    </w:p>
    <w:p w14:paraId="522724D6">
      <w:pPr>
        <w:spacing w:line="276" w:lineRule="auto"/>
      </w:pPr>
      <w:r>
        <w:t>La DPIA è necessaria in presenza di almeno due di questi criteri, ma il titolare può decidere di condurla anche se ne ricorre solo uno.</w:t>
      </w:r>
    </w:p>
    <w:p w14:paraId="7A1B4E67">
      <w:pPr>
        <w:spacing w:line="276" w:lineRule="auto"/>
      </w:pPr>
      <w:r>
        <w:t>Alla luce di quanto disposto dal Regolamento e chiarito dal Garante italiano e dal WP29, è da ritenersi necessario effettuare una DPIA circa il rischio elevato per i diritti e le libertà delle persone che può presentare l'adozione di un sistema di videosorveglianza comunale ai fini di sicurezza urbana.</w:t>
      </w:r>
    </w:p>
    <w:p w14:paraId="0D43F6FD">
      <w:pPr>
        <w:spacing w:line="276" w:lineRule="auto"/>
      </w:pPr>
      <w:r>
        <w:t>Tale sistema infatti può realizzare una "sorveglianza sistematica su larga scala di una zona accessibile al pubblico" e quindi può definirsi un trattamento che "possa presentare rischi elevati ai sensi dell'articolo 35 del Regolamento".</w:t>
      </w:r>
    </w:p>
    <w:p w14:paraId="54B0BCF6">
      <w:pPr>
        <w:spacing w:line="276" w:lineRule="auto"/>
        <w:rPr>
          <w:rFonts w:asciiTheme="majorHAnsi" w:hAnsiTheme="majorHAnsi"/>
        </w:rPr>
      </w:pPr>
      <w:r>
        <w:t>Considerando i criteri del WP29, nel caso di un impianto di videosorveglianza comunale ai fini di sicurezza urbana sono rilevabili almeno due di questi criteri, potendosi compiere u</w:t>
      </w:r>
      <w:r>
        <w:rPr>
          <w:rFonts w:asciiTheme="majorHAnsi" w:hAnsiTheme="majorHAnsi"/>
        </w:rPr>
        <w:t>n monitoraggio sistematico:</w:t>
      </w:r>
    </w:p>
    <w:p w14:paraId="489FCADF">
      <w:pPr>
        <w:spacing w:line="276" w:lineRule="auto"/>
        <w:rPr>
          <w:rFonts w:asciiTheme="majorHAnsi" w:hAnsiTheme="majorHAnsi"/>
        </w:rPr>
      </w:pPr>
    </w:p>
    <w:p w14:paraId="6F701115">
      <w:pPr>
        <w:pStyle w:val="339"/>
        <w:numPr>
          <w:ilvl w:val="0"/>
          <w:numId w:val="5"/>
        </w:numPr>
        <w:spacing w:line="276" w:lineRule="auto"/>
        <w:ind w:left="720" w:right="-1" w:hanging="360"/>
        <w:rPr>
          <w:rFonts w:asciiTheme="majorHAnsi" w:hAnsiTheme="majorHAnsi" w:cstheme="majorHAnsi"/>
        </w:rPr>
      </w:pPr>
      <w:r>
        <w:rPr>
          <w:rFonts w:asciiTheme="majorHAnsi" w:hAnsiTheme="majorHAnsi" w:cstheme="majorHAnsi"/>
        </w:rPr>
        <w:t>Di dati sensibili o dati aventi carattere altamente personale;</w:t>
      </w:r>
    </w:p>
    <w:p w14:paraId="5CAE20B4">
      <w:pPr>
        <w:pStyle w:val="339"/>
        <w:numPr>
          <w:ilvl w:val="0"/>
          <w:numId w:val="5"/>
        </w:numPr>
        <w:spacing w:line="276" w:lineRule="auto"/>
        <w:ind w:left="720" w:right="-1" w:hanging="360"/>
        <w:rPr>
          <w:rFonts w:asciiTheme="majorHAnsi" w:hAnsiTheme="majorHAnsi" w:cstheme="majorHAnsi"/>
        </w:rPr>
      </w:pPr>
      <w:r>
        <w:rPr>
          <w:rFonts w:asciiTheme="majorHAnsi" w:hAnsiTheme="majorHAnsi" w:cstheme="majorHAnsi"/>
        </w:rPr>
        <w:t>Su larga scala;</w:t>
      </w:r>
    </w:p>
    <w:p w14:paraId="11B7C817">
      <w:pPr>
        <w:pStyle w:val="339"/>
        <w:numPr>
          <w:ilvl w:val="0"/>
          <w:numId w:val="5"/>
        </w:numPr>
        <w:spacing w:line="276" w:lineRule="auto"/>
        <w:ind w:left="720" w:right="-1" w:hanging="360"/>
        <w:rPr>
          <w:rFonts w:asciiTheme="majorHAnsi" w:hAnsiTheme="majorHAnsi" w:cstheme="majorHAnsi"/>
        </w:rPr>
      </w:pPr>
      <w:r>
        <w:rPr>
          <w:rFonts w:asciiTheme="majorHAnsi" w:hAnsiTheme="majorHAnsi" w:cstheme="majorHAnsi"/>
        </w:rPr>
        <w:t>Che possono comprendere anche dati relativi a interessati vulnerabili;</w:t>
      </w:r>
    </w:p>
    <w:p w14:paraId="23B71656">
      <w:pPr>
        <w:pStyle w:val="339"/>
        <w:numPr>
          <w:ilvl w:val="0"/>
          <w:numId w:val="5"/>
        </w:numPr>
        <w:spacing w:line="276" w:lineRule="auto"/>
        <w:ind w:left="720" w:right="-1" w:hanging="360"/>
        <w:rPr>
          <w:rFonts w:asciiTheme="majorHAnsi" w:hAnsiTheme="majorHAnsi" w:cstheme="majorHAnsi"/>
        </w:rPr>
      </w:pPr>
      <w:r>
        <w:rPr>
          <w:rFonts w:asciiTheme="majorHAnsi" w:hAnsiTheme="majorHAnsi" w:cstheme="majorHAnsi"/>
        </w:rPr>
        <w:t>E che potrebbero comprendere utilizzi innovativi o applicazione di nuove soluzioni tecnologiche o organizzative;</w:t>
      </w:r>
    </w:p>
    <w:p w14:paraId="3BDBB9A8">
      <w:pPr>
        <w:spacing w:line="276" w:lineRule="auto"/>
      </w:pPr>
      <w:r>
        <w:t>Il regolamento generale sulla protezione dei dati definisce le caratteristiche minime di una valutazione d'impatto sulla protezione dei dati (articolo 35, paragrafo 7, e considerando 84 e 90):</w:t>
      </w:r>
    </w:p>
    <w:p w14:paraId="31A475E1">
      <w:pPr>
        <w:pStyle w:val="339"/>
        <w:numPr>
          <w:ilvl w:val="0"/>
          <w:numId w:val="6"/>
        </w:numPr>
        <w:spacing w:line="276" w:lineRule="auto"/>
        <w:ind w:left="720" w:right="-1" w:hanging="360"/>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"una descrizione dei trattamenti previsti e delle finalità del trattamento";</w:t>
      </w:r>
    </w:p>
    <w:p w14:paraId="3C510DC9">
      <w:pPr>
        <w:pStyle w:val="339"/>
        <w:numPr>
          <w:ilvl w:val="0"/>
          <w:numId w:val="6"/>
        </w:numPr>
        <w:spacing w:line="276" w:lineRule="auto"/>
        <w:ind w:left="720" w:right="-1" w:hanging="360"/>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"una valutazione della necessità e proporzionalità dei trattamenti";</w:t>
      </w:r>
    </w:p>
    <w:p w14:paraId="5662F5C9">
      <w:pPr>
        <w:pStyle w:val="339"/>
        <w:numPr>
          <w:ilvl w:val="0"/>
          <w:numId w:val="6"/>
        </w:numPr>
        <w:spacing w:line="276" w:lineRule="auto"/>
        <w:ind w:left="720" w:right="-1" w:hanging="360"/>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"una valutazione dei rischi per i diritti e le libertà degli interessati";</w:t>
      </w:r>
    </w:p>
    <w:p w14:paraId="1B0C148C">
      <w:pPr>
        <w:pStyle w:val="339"/>
        <w:numPr>
          <w:ilvl w:val="0"/>
          <w:numId w:val="6"/>
        </w:numPr>
        <w:spacing w:line="276" w:lineRule="auto"/>
        <w:ind w:left="720" w:right="-1" w:hanging="360"/>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"le misure previste per</w:t>
      </w:r>
      <w:r>
        <w:rPr>
          <w:rFonts w:ascii="Calibri Light" w:hAnsi="Calibri Light" w:eastAsia="Calibri" w:cstheme="majorHAnsi"/>
          <w:color w:val="000000"/>
          <w:kern w:val="2"/>
          <w:lang w:val="en-US" w:eastAsia="it-IT"/>
          <w14:ligatures w14:val="standardContextual"/>
        </w:rPr>
        <w:t>:</w:t>
      </w:r>
    </w:p>
    <w:p w14:paraId="37A5F42F">
      <w:pPr>
        <w:pStyle w:val="339"/>
        <w:numPr>
          <w:ilvl w:val="1"/>
          <w:numId w:val="6"/>
        </w:numPr>
        <w:spacing w:line="276" w:lineRule="auto"/>
        <w:ind w:left="1440" w:right="-1" w:hanging="360"/>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"affrontare i rischi";</w:t>
      </w:r>
    </w:p>
    <w:p w14:paraId="2B2E5F61">
      <w:pPr>
        <w:pStyle w:val="339"/>
        <w:numPr>
          <w:ilvl w:val="1"/>
          <w:numId w:val="6"/>
        </w:numPr>
        <w:spacing w:line="276" w:lineRule="auto"/>
        <w:ind w:left="1440" w:right="-1" w:hanging="360"/>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"dimostrare la conformità al presente regolamento".</w:t>
      </w:r>
    </w:p>
    <w:p w14:paraId="5718E407">
      <w:pPr>
        <w:spacing w:line="276" w:lineRule="auto"/>
      </w:pPr>
      <w:r>
        <w:drawing>
          <wp:inline distT="0" distB="0" distL="0" distR="0">
            <wp:extent cx="6120130" cy="4059555"/>
            <wp:effectExtent l="0" t="0" r="0" b="0"/>
            <wp:docPr id="4"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1"/>
                    <pic:cNvPicPr>
                      <a:picLocks noChangeAspect="1" noChangeArrowheads="1"/>
                    </pic:cNvPicPr>
                  </pic:nvPicPr>
                  <pic:blipFill>
                    <a:blip r:embed="rId15"/>
                    <a:stretch>
                      <a:fillRect/>
                    </a:stretch>
                  </pic:blipFill>
                  <pic:spPr>
                    <a:xfrm>
                      <a:off x="0" y="0"/>
                      <a:ext cx="6120130" cy="4059555"/>
                    </a:xfrm>
                    <a:prstGeom prst="rect">
                      <a:avLst/>
                    </a:prstGeom>
                  </pic:spPr>
                </pic:pic>
              </a:graphicData>
            </a:graphic>
          </wp:inline>
        </w:drawing>
      </w:r>
    </w:p>
    <w:p w14:paraId="43D27749">
      <w:pPr>
        <w:spacing w:line="276" w:lineRule="auto"/>
      </w:pPr>
    </w:p>
    <w:p w14:paraId="404C6813">
      <w:pPr>
        <w:spacing w:line="276" w:lineRule="auto"/>
      </w:pPr>
      <w:r>
        <w:t>Nel valutare l'impatto di un trattamento va tenuto conto (articolo 35, paragrafo 8) del rispetto di un codice di condotta (articolo 40). Ciò può essere utile per dimostrare che sono state scelte o messe in atto misure adeguate, a condizione che il codice di condotta sia adeguato all'operazione di trattamento interessata. Devono essere presi in considerazione anche certificazioni, sigilli e marchi al fine di dimostrare la conformità rispetto al regolamento generale sulla protezione dei dati dei trattamenti effettuati dai titolari del trattamento e dai responsabili del trattamento (articolo 42), nonché rispetto alle norme vincolanti d'impresa.</w:t>
      </w:r>
    </w:p>
    <w:p w14:paraId="59675713">
      <w:pPr>
        <w:spacing w:line="276" w:lineRule="auto"/>
      </w:pPr>
      <w:r>
        <w:t>Il considerando 90 del regolamento generale sulla protezione dei dati delinea una serie di elementi costituivi della valutazione d'impatto sulla protezione dei dati che si sovrappone a elementi ben definiti della gestione del rischio (ad esempio norma ISO 31000). In termini di gestione dei rischi, una valutazione d'impatto sulla protezione dei dati mira a "gestire i rischi" per i diritti e le libertà delle persone fisiche, utilizzando i seguenti processi:</w:t>
      </w:r>
    </w:p>
    <w:p w14:paraId="16E8A959">
      <w:pPr>
        <w:pStyle w:val="339"/>
        <w:numPr>
          <w:ilvl w:val="0"/>
          <w:numId w:val="7"/>
        </w:numPr>
        <w:spacing w:line="276" w:lineRule="auto"/>
        <w:ind w:left="720" w:right="-1" w:hanging="360"/>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stabilendo il contesto: "tenuto conto della natura, dell'ambito di applicazione, del contesto e delle finalità del trattamento e delle fonti di rischio";</w:t>
      </w:r>
    </w:p>
    <w:p w14:paraId="7A9B8ED1">
      <w:pPr>
        <w:pStyle w:val="339"/>
        <w:numPr>
          <w:ilvl w:val="0"/>
          <w:numId w:val="7"/>
        </w:numPr>
        <w:spacing w:line="276" w:lineRule="auto"/>
        <w:ind w:left="720" w:right="-1" w:hanging="360"/>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valutando i rischi: "valutare la particolare probabilità e gravità del rischio";</w:t>
      </w:r>
    </w:p>
    <w:p w14:paraId="33FCB8B3">
      <w:pPr>
        <w:pStyle w:val="339"/>
        <w:numPr>
          <w:ilvl w:val="0"/>
          <w:numId w:val="7"/>
        </w:numPr>
        <w:spacing w:line="276" w:lineRule="auto"/>
        <w:ind w:left="720" w:right="-1" w:hanging="360"/>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trattando i rischi: "attenuando tale rischio" e "assicurando la protezione dei dati personali", e "dimostrando la conformità al presente regolamento".</w:t>
      </w:r>
    </w:p>
    <w:p w14:paraId="2E4DBABA">
      <w:pPr>
        <w:spacing w:line="276" w:lineRule="auto"/>
      </w:pPr>
      <w:r>
        <w:t xml:space="preserve">Si potrebbe ricorrere a metodologie diverse per contribuire all'attuazione dei requisiti essenziali stabiliti nel regolamento generale sulla protezione dei dati. Per quanto il titolare del trattamento abbia la possibilità di applicare approcci distinti, consentendo comunque di rispettare il regolamento generale sulla protezione dei dati, sono stati individuati dei criteri comuni. Detti criteri possono essere utilizzati per dimostrare che una particolare metodologia di valutazione d'impatto sulla protezione dei dati soddisfa i parametri imposti dal regolamento generale sulla protezione dei dati. </w:t>
      </w:r>
    </w:p>
    <w:p w14:paraId="601F9B2D">
      <w:pPr>
        <w:spacing w:line="276" w:lineRule="auto"/>
        <w:rPr>
          <w:sz w:val="20"/>
          <w:szCs w:val="20"/>
        </w:rPr>
      </w:pPr>
    </w:p>
    <w:p w14:paraId="45AB42BD">
      <w:pPr>
        <w:spacing w:before="0" w:after="0" w:line="276" w:lineRule="auto"/>
        <w:jc w:val="left"/>
        <w:rPr>
          <w:b/>
          <w:bCs/>
          <w:color w:val="FF0000"/>
        </w:rPr>
      </w:pPr>
      <w:r>
        <w:rPr>
          <w:b/>
          <w:bCs/>
          <w:color w:val="00000A"/>
        </w:rPr>
        <w:t>Criteri per una valutazione d'impatto sulla protezione dei dati accettabile</w:t>
      </w:r>
    </w:p>
    <w:p w14:paraId="2AFAA996">
      <w:pPr>
        <w:spacing w:before="0" w:after="0" w:line="276" w:lineRule="auto"/>
        <w:jc w:val="left"/>
        <w:rPr>
          <w:b/>
          <w:bCs/>
          <w:sz w:val="16"/>
          <w:szCs w:val="16"/>
        </w:rPr>
      </w:pPr>
    </w:p>
    <w:p w14:paraId="65DA0511">
      <w:pPr>
        <w:spacing w:before="0" w:after="0" w:line="276" w:lineRule="auto"/>
      </w:pPr>
      <w:r>
        <w:t>Il WP29 propone i seguenti criteri che i titolari del trattamento possono utilizzare per stabilire se sia richiesta una valutazione d'impatto sulla protezione dei dati o meno oppure se una metodologia per lo svolgimento di una tale valutazione sia sufficientemente completa per garantire il rispetto del regolamento generale sulla protezione dei dati:</w:t>
      </w:r>
    </w:p>
    <w:p w14:paraId="65C75A4D">
      <w:pPr>
        <w:pStyle w:val="339"/>
        <w:numPr>
          <w:ilvl w:val="0"/>
          <w:numId w:val="8"/>
        </w:numPr>
        <w:spacing w:before="0" w:after="0" w:line="276" w:lineRule="auto"/>
        <w:ind w:left="720" w:right="-1" w:hanging="360"/>
        <w:contextualSpacing/>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b/>
          <w:bCs/>
          <w:color w:val="000000"/>
          <w:kern w:val="2"/>
          <w:lang w:eastAsia="it-IT"/>
          <w14:ligatures w14:val="standardContextual"/>
        </w:rPr>
        <w:t>una descrizione sistematica del trattamento è fornita</w:t>
      </w:r>
      <w:r>
        <w:rPr>
          <w:rFonts w:ascii="Calibri Light" w:hAnsi="Calibri Light" w:eastAsia="Calibri" w:cstheme="majorHAnsi"/>
          <w:color w:val="000000"/>
          <w:kern w:val="2"/>
          <w:lang w:eastAsia="it-IT"/>
          <w14:ligatures w14:val="standardContextual"/>
        </w:rPr>
        <w:t xml:space="preserve"> (articolo 35, paragrafo 7, lettera a)):</w:t>
      </w:r>
    </w:p>
    <w:p w14:paraId="349B4D56">
      <w:pPr>
        <w:pStyle w:val="339"/>
        <w:numPr>
          <w:ilvl w:val="1"/>
          <w:numId w:val="8"/>
        </w:numPr>
        <w:spacing w:before="0" w:after="0" w:line="276" w:lineRule="auto"/>
        <w:ind w:left="1440" w:right="-1" w:hanging="360"/>
        <w:contextualSpacing/>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la natura, l'ambito di applicazione, il contesto e le finalità del trattamento sono presi in considerazione (considerando 90);</w:t>
      </w:r>
    </w:p>
    <w:p w14:paraId="5674AA82">
      <w:pPr>
        <w:pStyle w:val="339"/>
        <w:numPr>
          <w:ilvl w:val="1"/>
          <w:numId w:val="8"/>
        </w:numPr>
        <w:spacing w:before="0" w:after="0" w:line="276" w:lineRule="auto"/>
        <w:ind w:left="1440" w:right="-1" w:hanging="360"/>
        <w:contextualSpacing/>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vengono registrati i dati personali, i destinatari e il periodo di conservazione dei dati personali;</w:t>
      </w:r>
    </w:p>
    <w:p w14:paraId="7F22EFAE">
      <w:pPr>
        <w:pStyle w:val="339"/>
        <w:numPr>
          <w:ilvl w:val="1"/>
          <w:numId w:val="8"/>
        </w:numPr>
        <w:spacing w:before="0" w:after="0" w:line="276" w:lineRule="auto"/>
        <w:ind w:left="1440" w:right="-1" w:hanging="360"/>
        <w:contextualSpacing/>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viene fornita una descrizione funzionale del trattamento;</w:t>
      </w:r>
    </w:p>
    <w:p w14:paraId="3FC1C78A">
      <w:pPr>
        <w:pStyle w:val="339"/>
        <w:numPr>
          <w:ilvl w:val="1"/>
          <w:numId w:val="8"/>
        </w:numPr>
        <w:spacing w:before="0" w:after="0" w:line="276" w:lineRule="auto"/>
        <w:ind w:left="1440" w:right="-1" w:hanging="360"/>
        <w:contextualSpacing/>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sono individuate le risorse sulle quali si basano i dati personali (hardware, software, reti, persone, canali cartacei o di trasmissione cartacea);</w:t>
      </w:r>
    </w:p>
    <w:p w14:paraId="08C80324">
      <w:pPr>
        <w:pStyle w:val="339"/>
        <w:numPr>
          <w:ilvl w:val="1"/>
          <w:numId w:val="8"/>
        </w:numPr>
        <w:spacing w:before="0" w:after="0" w:line="276" w:lineRule="auto"/>
        <w:ind w:left="1440" w:right="-1" w:hanging="360"/>
        <w:contextualSpacing/>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si tiene conto del rispetto dei codici di condotta approvati (articolo 35, paragrafo 8);</w:t>
      </w:r>
    </w:p>
    <w:p w14:paraId="60FED26B">
      <w:pPr>
        <w:pStyle w:val="339"/>
        <w:numPr>
          <w:ilvl w:val="0"/>
          <w:numId w:val="8"/>
        </w:numPr>
        <w:spacing w:before="0" w:after="0" w:line="276" w:lineRule="auto"/>
        <w:ind w:left="720" w:right="-1" w:hanging="360"/>
        <w:contextualSpacing/>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b/>
          <w:bCs/>
          <w:color w:val="000000"/>
          <w:kern w:val="2"/>
          <w:lang w:eastAsia="it-IT"/>
          <w14:ligatures w14:val="standardContextual"/>
        </w:rPr>
        <w:t>la necessità e la proporzionalità sono valutate</w:t>
      </w:r>
      <w:r>
        <w:rPr>
          <w:rFonts w:ascii="Calibri Light" w:hAnsi="Calibri Light" w:eastAsia="Calibri" w:cstheme="majorHAnsi"/>
          <w:color w:val="000000"/>
          <w:kern w:val="2"/>
          <w:lang w:eastAsia="it-IT"/>
          <w14:ligatures w14:val="standardContextual"/>
        </w:rPr>
        <w:t xml:space="preserve"> (articolo 35, paragrafo 7, lettera b)):</w:t>
      </w:r>
    </w:p>
    <w:p w14:paraId="727CEC0D">
      <w:pPr>
        <w:pStyle w:val="339"/>
        <w:numPr>
          <w:ilvl w:val="1"/>
          <w:numId w:val="8"/>
        </w:numPr>
        <w:spacing w:before="0" w:after="0" w:line="276" w:lineRule="auto"/>
        <w:ind w:left="1440" w:right="-1" w:hanging="360"/>
        <w:contextualSpacing/>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sono state determinate le misure previste per garantire il rispetto del regolamento (articolo 35, paragrafo 7, lettera d) e considerando 90):</w:t>
      </w:r>
    </w:p>
    <w:p w14:paraId="35F10B60">
      <w:pPr>
        <w:pStyle w:val="339"/>
        <w:numPr>
          <w:ilvl w:val="2"/>
          <w:numId w:val="8"/>
        </w:numPr>
        <w:spacing w:before="0" w:after="0" w:line="276" w:lineRule="auto"/>
        <w:ind w:left="2160" w:right="-1" w:hanging="360"/>
        <w:contextualSpacing/>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misure che contribuiscono alla proporzionalità e alla necessità del trattamento sulla base di:</w:t>
      </w:r>
    </w:p>
    <w:p w14:paraId="135D219A">
      <w:pPr>
        <w:pStyle w:val="339"/>
        <w:numPr>
          <w:ilvl w:val="3"/>
          <w:numId w:val="8"/>
        </w:numPr>
        <w:spacing w:before="0" w:after="0" w:line="276" w:lineRule="auto"/>
        <w:ind w:left="2880" w:right="-1" w:hanging="360"/>
        <w:contextualSpacing/>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finalità determinate, esplicite e legittime (articolo 5, paragrafo 1, lettera b));</w:t>
      </w:r>
    </w:p>
    <w:p w14:paraId="092B4218">
      <w:pPr>
        <w:pStyle w:val="339"/>
        <w:numPr>
          <w:ilvl w:val="3"/>
          <w:numId w:val="8"/>
        </w:numPr>
        <w:spacing w:before="0" w:after="0" w:line="276" w:lineRule="auto"/>
        <w:ind w:left="2880" w:right="-1" w:hanging="360"/>
        <w:contextualSpacing/>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liceità del trattamento (articolo 6);</w:t>
      </w:r>
    </w:p>
    <w:p w14:paraId="7A188355">
      <w:pPr>
        <w:pStyle w:val="339"/>
        <w:numPr>
          <w:ilvl w:val="3"/>
          <w:numId w:val="8"/>
        </w:numPr>
        <w:spacing w:before="0" w:after="0" w:line="276" w:lineRule="auto"/>
        <w:ind w:left="2880" w:right="-1" w:hanging="360"/>
        <w:contextualSpacing/>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dati personali adeguati, pertinenti e limitati a quanto necessario (articolo 5, paragrafo 1, lettera c));</w:t>
      </w:r>
    </w:p>
    <w:p w14:paraId="036E3C47">
      <w:pPr>
        <w:pStyle w:val="339"/>
        <w:numPr>
          <w:ilvl w:val="3"/>
          <w:numId w:val="8"/>
        </w:numPr>
        <w:spacing w:before="0" w:after="0" w:line="276" w:lineRule="auto"/>
        <w:ind w:left="2880" w:right="-1" w:hanging="360"/>
        <w:contextualSpacing/>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limitazione della conservazione (articolo 5, paragrafo 1, lettera e));</w:t>
      </w:r>
    </w:p>
    <w:p w14:paraId="280A103A">
      <w:pPr>
        <w:pStyle w:val="339"/>
        <w:numPr>
          <w:ilvl w:val="2"/>
          <w:numId w:val="8"/>
        </w:numPr>
        <w:spacing w:before="0" w:after="0" w:line="276" w:lineRule="auto"/>
        <w:ind w:left="2160" w:right="-1" w:hanging="360"/>
        <w:contextualSpacing/>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misure che contribuiscono ai diritti degli interessati:</w:t>
      </w:r>
    </w:p>
    <w:p w14:paraId="461A162D">
      <w:pPr>
        <w:pStyle w:val="339"/>
        <w:numPr>
          <w:ilvl w:val="3"/>
          <w:numId w:val="8"/>
        </w:numPr>
        <w:spacing w:before="0" w:after="0" w:line="276" w:lineRule="auto"/>
        <w:ind w:left="2880" w:right="-1" w:hanging="360"/>
        <w:contextualSpacing/>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informazioni fornite all'interessato (articoli 12, 13 e 14);</w:t>
      </w:r>
    </w:p>
    <w:p w14:paraId="17A42612">
      <w:pPr>
        <w:pStyle w:val="339"/>
        <w:numPr>
          <w:ilvl w:val="3"/>
          <w:numId w:val="8"/>
        </w:numPr>
        <w:spacing w:before="0" w:after="0" w:line="276" w:lineRule="auto"/>
        <w:ind w:left="2880" w:right="-1" w:hanging="360"/>
        <w:contextualSpacing/>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diritto di accesso e portabilità dei dati (articoli 15 e 20);</w:t>
      </w:r>
    </w:p>
    <w:p w14:paraId="401CEA95">
      <w:pPr>
        <w:pStyle w:val="339"/>
        <w:numPr>
          <w:ilvl w:val="3"/>
          <w:numId w:val="8"/>
        </w:numPr>
        <w:spacing w:before="0" w:after="0" w:line="276" w:lineRule="auto"/>
        <w:ind w:left="2880" w:right="-1" w:hanging="360"/>
        <w:contextualSpacing/>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diritto di rettifica e alla cancellazione (articoli 16, 17 e 19);</w:t>
      </w:r>
    </w:p>
    <w:p w14:paraId="799691D4">
      <w:pPr>
        <w:pStyle w:val="339"/>
        <w:numPr>
          <w:ilvl w:val="3"/>
          <w:numId w:val="8"/>
        </w:numPr>
        <w:spacing w:before="0" w:after="0" w:line="276" w:lineRule="auto"/>
        <w:ind w:left="2880" w:right="-1" w:hanging="360"/>
        <w:contextualSpacing/>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diritto di opposizione e di limitazione di trattamento (articoli 18, 19 e 21);</w:t>
      </w:r>
    </w:p>
    <w:p w14:paraId="1A66D018">
      <w:pPr>
        <w:pStyle w:val="339"/>
        <w:numPr>
          <w:ilvl w:val="3"/>
          <w:numId w:val="8"/>
        </w:numPr>
        <w:spacing w:before="0" w:after="0" w:line="276" w:lineRule="auto"/>
        <w:ind w:left="2880" w:right="-1" w:hanging="360"/>
        <w:contextualSpacing/>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rapporti con i responsabili del trattamento (articolo 28);</w:t>
      </w:r>
    </w:p>
    <w:p w14:paraId="35C04883">
      <w:pPr>
        <w:pStyle w:val="339"/>
        <w:numPr>
          <w:ilvl w:val="3"/>
          <w:numId w:val="8"/>
        </w:numPr>
        <w:spacing w:before="0" w:after="0" w:line="276" w:lineRule="auto"/>
        <w:ind w:left="2880" w:right="-1" w:hanging="360"/>
        <w:contextualSpacing/>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garanzie riguardanti trattamenti internazionali (capo V);</w:t>
      </w:r>
    </w:p>
    <w:p w14:paraId="7E7BDC44">
      <w:pPr>
        <w:pStyle w:val="339"/>
        <w:numPr>
          <w:ilvl w:val="3"/>
          <w:numId w:val="8"/>
        </w:numPr>
        <w:spacing w:before="0" w:after="0" w:line="276" w:lineRule="auto"/>
        <w:ind w:left="2880" w:right="-1" w:hanging="360"/>
        <w:contextualSpacing/>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consultazione preventiva (articolo 36).</w:t>
      </w:r>
    </w:p>
    <w:p w14:paraId="007BD0D8">
      <w:pPr>
        <w:pStyle w:val="339"/>
        <w:numPr>
          <w:ilvl w:val="0"/>
          <w:numId w:val="8"/>
        </w:numPr>
        <w:spacing w:before="0" w:after="0" w:line="276" w:lineRule="auto"/>
        <w:ind w:left="720" w:right="-1" w:hanging="360"/>
        <w:contextualSpacing/>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b/>
          <w:bCs/>
          <w:color w:val="000000"/>
          <w:kern w:val="2"/>
          <w:lang w:eastAsia="it-IT"/>
          <w14:ligatures w14:val="standardContextual"/>
        </w:rPr>
        <w:t>i rischi per i diritti e le libertà degli interessati sono gestiti</w:t>
      </w:r>
      <w:r>
        <w:rPr>
          <w:rFonts w:ascii="Calibri Light" w:hAnsi="Calibri Light" w:eastAsia="Calibri" w:cstheme="majorHAnsi"/>
          <w:color w:val="000000"/>
          <w:kern w:val="2"/>
          <w:lang w:eastAsia="it-IT"/>
          <w14:ligatures w14:val="standardContextual"/>
        </w:rPr>
        <w:t xml:space="preserve"> (articolo 35, paragrafo 7 lettera c)):</w:t>
      </w:r>
    </w:p>
    <w:p w14:paraId="58AF0D22">
      <w:pPr>
        <w:pStyle w:val="339"/>
        <w:numPr>
          <w:ilvl w:val="1"/>
          <w:numId w:val="8"/>
        </w:numPr>
        <w:spacing w:before="0" w:after="0" w:line="276" w:lineRule="auto"/>
        <w:ind w:left="1440" w:right="-1" w:hanging="360"/>
        <w:contextualSpacing/>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l'origine, la natura, la particolarità e la gravità dei rischi (cfr. considerando 84) o, più in particolare, per ciascun rischio (accesso illegittimo, modifica indesiderata e scomparsa dei dati) vengono determinate dalla prospettiva degli interessati:</w:t>
      </w:r>
    </w:p>
    <w:p w14:paraId="3C0079E4">
      <w:pPr>
        <w:pStyle w:val="339"/>
        <w:numPr>
          <w:ilvl w:val="2"/>
          <w:numId w:val="8"/>
        </w:numPr>
        <w:spacing w:before="0" w:after="0" w:line="276" w:lineRule="auto"/>
        <w:ind w:left="2160" w:right="-1" w:hanging="360"/>
        <w:contextualSpacing/>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si considerano le fonti di rischio (considerando 90);</w:t>
      </w:r>
    </w:p>
    <w:p w14:paraId="4019C4EF">
      <w:pPr>
        <w:pStyle w:val="339"/>
        <w:numPr>
          <w:ilvl w:val="2"/>
          <w:numId w:val="8"/>
        </w:numPr>
        <w:spacing w:before="0" w:after="0" w:line="276" w:lineRule="auto"/>
        <w:ind w:left="2160" w:right="-1" w:hanging="360"/>
        <w:contextualSpacing/>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sono individuati gli impatti potenziali per i diritti e le libertà degli interessati in caso di eventi che includono l'accesso illegittimo, la modifica indesiderata e la scomparsa dei dati;</w:t>
      </w:r>
    </w:p>
    <w:p w14:paraId="5E6066F9">
      <w:pPr>
        <w:pStyle w:val="339"/>
        <w:numPr>
          <w:ilvl w:val="2"/>
          <w:numId w:val="8"/>
        </w:numPr>
        <w:spacing w:before="0" w:after="0" w:line="276" w:lineRule="auto"/>
        <w:ind w:left="2160" w:right="-1" w:hanging="360"/>
        <w:contextualSpacing/>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sono individuate minacce che potrebbero determinare un accesso illegittimo, una modifica indesiderata e la scomparsa dei dati;</w:t>
      </w:r>
    </w:p>
    <w:p w14:paraId="25606EA4">
      <w:pPr>
        <w:pStyle w:val="339"/>
        <w:numPr>
          <w:ilvl w:val="2"/>
          <w:numId w:val="8"/>
        </w:numPr>
        <w:spacing w:before="0" w:after="0" w:line="276" w:lineRule="auto"/>
        <w:ind w:left="2160" w:right="-1" w:hanging="360"/>
        <w:contextualSpacing/>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sono stimate la probabilità e la gravità (considerando 90);</w:t>
      </w:r>
    </w:p>
    <w:p w14:paraId="258487FB">
      <w:pPr>
        <w:pStyle w:val="339"/>
        <w:numPr>
          <w:ilvl w:val="1"/>
          <w:numId w:val="8"/>
        </w:numPr>
        <w:spacing w:before="0" w:after="0" w:line="276" w:lineRule="auto"/>
        <w:ind w:left="1440" w:right="-1" w:hanging="360"/>
        <w:contextualSpacing/>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sono determinate le misure previste per gestire tali rischi (articolo 35, paragrafo 7, lettera d) e considerando 90);</w:t>
      </w:r>
    </w:p>
    <w:p w14:paraId="1656EE0A">
      <w:pPr>
        <w:pStyle w:val="339"/>
        <w:numPr>
          <w:ilvl w:val="0"/>
          <w:numId w:val="8"/>
        </w:numPr>
        <w:spacing w:before="0" w:after="0" w:line="276" w:lineRule="auto"/>
        <w:ind w:left="720" w:right="-1" w:hanging="360"/>
        <w:contextualSpacing/>
        <w:rPr>
          <w:rFonts w:ascii="Calibri Light" w:hAnsi="Calibri Light" w:eastAsia="Calibri" w:cstheme="majorHAnsi"/>
          <w:b/>
          <w:bCs/>
          <w:color w:val="000000"/>
          <w:kern w:val="2"/>
          <w:lang w:eastAsia="it-IT"/>
          <w14:ligatures w14:val="standardContextual"/>
        </w:rPr>
      </w:pPr>
      <w:r>
        <w:rPr>
          <w:rFonts w:ascii="Calibri Light" w:hAnsi="Calibri Light" w:eastAsia="Calibri" w:cstheme="majorHAnsi"/>
          <w:b/>
          <w:bCs/>
          <w:color w:val="000000"/>
          <w:kern w:val="2"/>
          <w:lang w:eastAsia="it-IT"/>
          <w14:ligatures w14:val="standardContextual"/>
        </w:rPr>
        <w:t>le parti interessate sono coinvolte:</w:t>
      </w:r>
    </w:p>
    <w:p w14:paraId="0B61BD8F">
      <w:pPr>
        <w:pStyle w:val="339"/>
        <w:numPr>
          <w:ilvl w:val="1"/>
          <w:numId w:val="8"/>
        </w:numPr>
        <w:spacing w:before="0" w:after="0" w:line="276" w:lineRule="auto"/>
        <w:ind w:left="1440" w:right="-1" w:hanging="360"/>
        <w:contextualSpacing/>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si consulta il responsabile della protezione dei dati (articolo 35, paragrafo 2);</w:t>
      </w:r>
    </w:p>
    <w:p w14:paraId="3BAF61D5">
      <w:pPr>
        <w:pStyle w:val="339"/>
        <w:numPr>
          <w:ilvl w:val="1"/>
          <w:numId w:val="8"/>
        </w:numPr>
        <w:spacing w:before="0" w:after="0" w:line="276" w:lineRule="auto"/>
        <w:ind w:left="1440" w:right="-1" w:hanging="360"/>
        <w:contextualSpacing/>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si raccolgono le opinioni degli interessati o dei loro rappresentanti, ove opportuno (articolo 35, paragrafo 9).</w:t>
      </w:r>
    </w:p>
    <w:p w14:paraId="3A68AFB0"/>
    <w:p w14:paraId="6DA81435">
      <w:pPr>
        <w:pStyle w:val="3"/>
        <w:shd w:val="clear" w:color="auto" w:fill="D9E2F3"/>
        <w:spacing w:line="240" w:lineRule="auto"/>
      </w:pPr>
      <w:bookmarkStart w:id="2" w:name="_Toc211869140"/>
      <w:r>
        <w:t>Metodologia utilizzata</w:t>
      </w:r>
      <w:bookmarkEnd w:id="2"/>
    </w:p>
    <w:p w14:paraId="116DC93E"/>
    <w:p w14:paraId="01996EE3">
      <w:pPr>
        <w:spacing w:line="276" w:lineRule="auto"/>
      </w:pPr>
      <w:r>
        <w:t>La valutazione d'impatto sulla protezione dei dati deve tenere conto del rischio complessivo che il trattamento previsto può comportare per i diritti e le libertà degli interessati, alla luce dello specifico contesto.</w:t>
      </w:r>
    </w:p>
    <w:p w14:paraId="727BDB32">
      <w:pPr>
        <w:spacing w:line="276" w:lineRule="auto"/>
      </w:pPr>
      <w:r>
        <w:t>Pertanto, il concetto di rischio non si esaurisce nella considerazione delle possibili violazioni o minacce della sicurezza dei dati.</w:t>
      </w:r>
    </w:p>
    <w:p w14:paraId="1E26280A">
      <w:pPr>
        <w:spacing w:line="276" w:lineRule="auto"/>
      </w:pPr>
      <w:r>
        <w:t>È quindi un processo complesso che deve tenere in considerazione e valutare i diversi aspetti tecnici ed organizzativi necessari a minimizzare, fino a renderli accettabili, il possibile impatto sulle persone del trattamento che si intende effettuare, in relazione ai loro diritti e alle loro libertà.</w:t>
      </w:r>
    </w:p>
    <w:p w14:paraId="574931B2">
      <w:pPr>
        <w:spacing w:line="276" w:lineRule="auto"/>
      </w:pPr>
      <w:r>
        <w:t>Per effettuare la valutazione di impatto si è seguito il metodo definito dalla CNIL – Autorità francese per la protezione dei dati – con il supporto del software di ausilio ai titolari per l’effettuazione della valutazione d'impatto sulla protezione dei dati (DPIA) messo a punto dalla stessa autorità.</w:t>
      </w:r>
    </w:p>
    <w:p w14:paraId="59EDD17B">
      <w:pPr>
        <w:spacing w:line="276" w:lineRule="auto"/>
      </w:pPr>
      <w:r>
        <w:t>Il software offre un percorso guidato alla realizzazione della DPIA, secondo una sequenza conforme alle indicazioni fornite dal WP29 nelle Linee-guida sulla DPIA.</w:t>
      </w:r>
    </w:p>
    <w:p w14:paraId="3DA826F6">
      <w:pPr>
        <w:spacing w:line="276" w:lineRule="auto"/>
      </w:pPr>
    </w:p>
    <w:p w14:paraId="1F34CA75">
      <w:pPr>
        <w:spacing w:line="276" w:lineRule="auto"/>
      </w:pPr>
      <w:r>
        <w:t>Gli Art 24, 25 e 32 introducono e richiedono l’effettuazione dell’analisi dei rischi. L'analisi dei rischi è un elemento fondamentale del GDPR, che responsabilizza titolari e responsabili del trattamento nella gestione dei dati personali.</w:t>
      </w:r>
    </w:p>
    <w:p w14:paraId="62C6BD68">
      <w:pPr>
        <w:spacing w:line="276" w:lineRule="auto"/>
      </w:pPr>
      <w:r>
        <w:t>L’analisi dei rischi è il primo passo verso l'adozione di adeguate misure di sicurezza per la protezione dei dati personali.</w:t>
      </w:r>
    </w:p>
    <w:p w14:paraId="6E2CE85F">
      <w:pPr>
        <w:spacing w:line="276" w:lineRule="auto"/>
      </w:pPr>
    </w:p>
    <w:p w14:paraId="35E1F9B7">
      <w:pPr>
        <w:spacing w:line="276" w:lineRule="auto"/>
      </w:pPr>
      <w:r>
        <w:t>Il processo di valutazione dei rischi sul trattamento dei dati personali è orientato a valutare – e mitigare, se non ridurre al minimo – tutti i rischi per i diritti e le libertà dell’interessato che si possono verificare a fronte di un trattamento di dati personali.</w:t>
      </w:r>
    </w:p>
    <w:p w14:paraId="2F21AE7D">
      <w:pPr>
        <w:spacing w:line="276" w:lineRule="auto"/>
      </w:pPr>
    </w:p>
    <w:p w14:paraId="7B3B5597">
      <w:pPr>
        <w:spacing w:line="276" w:lineRule="auto"/>
      </w:pPr>
      <w:r>
        <w:t>Se poi, a valle di una valutazione dei rischi si ottiene un rischio elevato per i diritti e le libertà dell’interessato, allora sarà necessario condurre anche una valutazione di impatto sul trattamento che è risultato di rischio elevato. Questo al netto delle altre condizioni che possono portare a condurre comunque una valutazione di impatto, come imposto dal GDPR stesso e dalle indicazioni dei Garanti nazionali.</w:t>
      </w:r>
    </w:p>
    <w:p w14:paraId="2DA68385">
      <w:pPr>
        <w:spacing w:line="276" w:lineRule="auto"/>
      </w:pPr>
    </w:p>
    <w:p w14:paraId="3F67CA69">
      <w:pPr>
        <w:spacing w:line="276" w:lineRule="auto"/>
      </w:pPr>
      <w:r>
        <w:t>Per essere coerenti con quanto disposto dal Regolamento occorre valutare i rischi analizzandone gravità delle conseguenze e probabilità di accadimento, come ci indica l’articolo 32.</w:t>
      </w:r>
    </w:p>
    <w:p w14:paraId="0131F369">
      <w:pPr>
        <w:spacing w:line="276" w:lineRule="auto"/>
      </w:pPr>
    </w:p>
    <w:p w14:paraId="6CAF7982">
      <w:pPr>
        <w:spacing w:line="276" w:lineRule="auto"/>
      </w:pPr>
      <w:r>
        <w:t>Un buon modo per affrontare la valutazione dei rischi è sicuramente costituito dall’opportunità di riferirsi a standard internazionali per la valutazione dei rischi, come le norme della serie ISO 31000 (cfr. UNI ISO 31000:2018 – Gestione del rischio – Principi e linee guida).</w:t>
      </w:r>
    </w:p>
    <w:p w14:paraId="09BA395A">
      <w:pPr>
        <w:spacing w:line="276" w:lineRule="auto"/>
      </w:pPr>
    </w:p>
    <w:p w14:paraId="24CB9AEC">
      <w:pPr>
        <w:spacing w:line="276" w:lineRule="auto"/>
      </w:pPr>
      <w:r>
        <w:t>Nel processo di risk assessment privacy vengono considerati i seguenti attributi dei dati personali (o degli archivi, banche dati di dati personali):</w:t>
      </w:r>
    </w:p>
    <w:p w14:paraId="2610E7C5">
      <w:pPr>
        <w:spacing w:line="276" w:lineRule="auto"/>
      </w:pPr>
    </w:p>
    <w:p w14:paraId="49AB11F6">
      <w:pPr>
        <w:spacing w:line="276" w:lineRule="auto"/>
      </w:pPr>
      <w:r>
        <w:t>Riservatezza: il dato deve essere accessibile solo a chi è autorizzato a conoscerlo.</w:t>
      </w:r>
    </w:p>
    <w:p w14:paraId="3A75168B">
      <w:pPr>
        <w:spacing w:line="276" w:lineRule="auto"/>
      </w:pPr>
      <w:r>
        <w:t>Integrità: i dati devono essere integri, esatti e coerenti.</w:t>
      </w:r>
    </w:p>
    <w:p w14:paraId="61FD6BB1">
      <w:pPr>
        <w:spacing w:line="276" w:lineRule="auto"/>
      </w:pPr>
      <w:r>
        <w:t>Disponibilità: i dati devono essere sempre disponibili alle persone autorizzate quando necessario.</w:t>
      </w:r>
    </w:p>
    <w:p w14:paraId="7C1E8DD7">
      <w:pPr>
        <w:spacing w:line="276" w:lineRule="auto"/>
      </w:pPr>
    </w:p>
    <w:p w14:paraId="7446AD38">
      <w:pPr>
        <w:spacing w:line="276" w:lineRule="auto"/>
      </w:pPr>
      <w:r>
        <w:t>Pertanto, tutti i rischi che possono derivare da trattamenti non conformi ai requisiti normativi sulla protezione dei dati personali possono essere indirizzati ad una o più dei suddetti attributi delle informazioni personali gestite.</w:t>
      </w:r>
    </w:p>
    <w:p w14:paraId="3C092849">
      <w:pPr>
        <w:spacing w:line="276" w:lineRule="auto"/>
      </w:pPr>
    </w:p>
    <w:p w14:paraId="6C41EA34">
      <w:pPr>
        <w:spacing w:line="276" w:lineRule="auto"/>
      </w:pPr>
      <w:r>
        <w:t>In ambito privacy sono considerati solo i rischi relativi al trattamento dei dati personali che hanno impatto sugli interessati (danni materiali ed immateriali). Sono escluse dal contesto tutte le conseguenze di rischi che non hanno impatti sui dati personali.</w:t>
      </w:r>
    </w:p>
    <w:p w14:paraId="5B1F5F24">
      <w:pPr>
        <w:spacing w:line="276" w:lineRule="auto"/>
      </w:pPr>
    </w:p>
    <w:p w14:paraId="301AA26C">
      <w:pPr>
        <w:spacing w:line="276" w:lineRule="auto"/>
      </w:pPr>
      <w:r>
        <w:t>Le sorgenti di rischio nell’ambito del trattamento di dati personali possono riguardare:</w:t>
      </w:r>
    </w:p>
    <w:p w14:paraId="12293028">
      <w:pPr>
        <w:pStyle w:val="339"/>
        <w:numPr>
          <w:ilvl w:val="0"/>
          <w:numId w:val="9"/>
        </w:numPr>
        <w:spacing w:line="276" w:lineRule="auto"/>
        <w:ind w:left="720" w:right="-1" w:hanging="360"/>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personale interno all’organizzazione: dipendenti, collaboratori, ecc…;</w:t>
      </w:r>
    </w:p>
    <w:p w14:paraId="1A59A85F">
      <w:pPr>
        <w:pStyle w:val="339"/>
        <w:numPr>
          <w:ilvl w:val="0"/>
          <w:numId w:val="9"/>
        </w:numPr>
        <w:spacing w:line="276" w:lineRule="auto"/>
        <w:ind w:left="720" w:right="-1" w:hanging="360"/>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persone esterne all’organizzazione: fornitori, concorrenti, terze parti, ecc…;</w:t>
      </w:r>
    </w:p>
    <w:p w14:paraId="491A0FEF">
      <w:pPr>
        <w:pStyle w:val="339"/>
        <w:numPr>
          <w:ilvl w:val="0"/>
          <w:numId w:val="9"/>
        </w:numPr>
        <w:spacing w:line="276" w:lineRule="auto"/>
        <w:ind w:left="720" w:right="-1" w:hanging="360"/>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risorse tecnologiche: virus informatici, malfunzionamenti e crash di sistemi, ecc…;</w:t>
      </w:r>
    </w:p>
    <w:p w14:paraId="399659DB">
      <w:pPr>
        <w:pStyle w:val="339"/>
        <w:numPr>
          <w:ilvl w:val="0"/>
          <w:numId w:val="9"/>
        </w:numPr>
        <w:spacing w:line="276" w:lineRule="auto"/>
        <w:ind w:left="720" w:right="-1" w:hanging="360"/>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eventi naturali e non naturali (causati dall’uomo): terremoti, incendi, alluvioni, ecc…;</w:t>
      </w:r>
    </w:p>
    <w:p w14:paraId="7355B78F">
      <w:pPr>
        <w:spacing w:line="276" w:lineRule="auto"/>
      </w:pPr>
      <w:r>
        <w:t>Il processo di valutazione dei rischi comprende le seguenti fasi, descritte nel seguito del presente documento:</w:t>
      </w:r>
    </w:p>
    <w:p w14:paraId="4B73DBED">
      <w:pPr>
        <w:pStyle w:val="339"/>
        <w:numPr>
          <w:ilvl w:val="0"/>
          <w:numId w:val="10"/>
        </w:numPr>
        <w:spacing w:line="276" w:lineRule="auto"/>
        <w:ind w:left="720" w:right="-1" w:hanging="360"/>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Identificazione dei rischi</w:t>
      </w:r>
    </w:p>
    <w:p w14:paraId="13DD1C40">
      <w:pPr>
        <w:pStyle w:val="339"/>
        <w:numPr>
          <w:ilvl w:val="0"/>
          <w:numId w:val="10"/>
        </w:numPr>
        <w:spacing w:line="276" w:lineRule="auto"/>
        <w:ind w:left="720" w:right="-1" w:hanging="360"/>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Analisi e ponderazione dei rischi</w:t>
      </w:r>
    </w:p>
    <w:p w14:paraId="59BF6CE8">
      <w:pPr>
        <w:pStyle w:val="339"/>
        <w:numPr>
          <w:ilvl w:val="0"/>
          <w:numId w:val="10"/>
        </w:numPr>
        <w:spacing w:line="276" w:lineRule="auto"/>
        <w:ind w:left="720" w:right="-1" w:hanging="360"/>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Identificazione e valutazione delle opzioni per il trattamento dei rischi</w:t>
      </w:r>
    </w:p>
    <w:p w14:paraId="6B2A7B9B">
      <w:pPr>
        <w:pStyle w:val="339"/>
        <w:numPr>
          <w:ilvl w:val="0"/>
          <w:numId w:val="10"/>
        </w:numPr>
        <w:spacing w:line="276" w:lineRule="auto"/>
        <w:ind w:left="720" w:right="-1" w:hanging="360"/>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Attuazione di controlli per il trattamento dei rischi</w:t>
      </w:r>
    </w:p>
    <w:p w14:paraId="4E3BDC86">
      <w:pPr>
        <w:pStyle w:val="339"/>
        <w:numPr>
          <w:ilvl w:val="0"/>
          <w:numId w:val="10"/>
        </w:numPr>
        <w:spacing w:line="276" w:lineRule="auto"/>
        <w:ind w:left="720" w:right="-1" w:hanging="360"/>
        <w:rPr>
          <w:rFonts w:ascii="Calibri Light" w:hAnsi="Calibri Light" w:eastAsia="Calibri" w:cstheme="majorHAnsi"/>
          <w:color w:val="000000"/>
          <w:kern w:val="2"/>
          <w:lang w:eastAsia="it-IT"/>
          <w14:ligatures w14:val="standardContextual"/>
        </w:rPr>
      </w:pPr>
      <w:r>
        <w:rPr>
          <w:rFonts w:ascii="Calibri Light" w:hAnsi="Calibri Light" w:eastAsia="Calibri" w:cstheme="majorHAnsi"/>
          <w:color w:val="000000"/>
          <w:kern w:val="2"/>
          <w:lang w:eastAsia="it-IT"/>
          <w14:ligatures w14:val="standardContextual"/>
        </w:rPr>
        <w:t>Accettazione/Trattamento dei rischi residui.</w:t>
      </w:r>
    </w:p>
    <w:p w14:paraId="28192419">
      <w:pPr>
        <w:spacing w:line="276" w:lineRule="auto"/>
      </w:pPr>
    </w:p>
    <w:p w14:paraId="11464833">
      <w:pPr>
        <w:spacing w:line="276" w:lineRule="auto"/>
      </w:pPr>
      <w:r>
        <w:t>Al di là della teoria molto estesa disponibile sull’argomento (le metodologie di risk assessment sono molto diffuse in diversi settori ed ambiti), per effettuare l’analisi dei rischi è stato utilizzato il modello VERA (Very easy risk assessment).</w:t>
      </w:r>
    </w:p>
    <w:p w14:paraId="6710145A">
      <w:pPr>
        <w:spacing w:line="276" w:lineRule="auto"/>
      </w:pPr>
      <w:r>
        <w:t>Il modello applicato da VERA si basa su un approccio semplificato pensato per le PMI, adatto anche alle pubbliche amministrazioni locali, per aiutarle a valutare i relativi rischi per la sicurezza.</w:t>
      </w:r>
    </w:p>
    <w:p w14:paraId="7EEEE736">
      <w:pPr>
        <w:spacing w:line="276" w:lineRule="auto"/>
        <w:rPr>
          <w:highlight w:val="yellow"/>
        </w:rPr>
      </w:pPr>
      <w:r>
        <w:t>VERA permette di analizzare il rischio relativo alla sicurezza delle informazioni a livello soprattutto tattico, ossia a livello di processo e di organizzazione in generale.</w:t>
      </w:r>
      <w:r>
        <w:br w:type="page"/>
      </w:r>
    </w:p>
    <w:p w14:paraId="06EEF987">
      <w:pPr>
        <w:pStyle w:val="2"/>
      </w:pPr>
      <w:bookmarkStart w:id="3" w:name="_Toc211869141"/>
      <w:r>
        <w:t>Contesto</w:t>
      </w:r>
      <w:bookmarkEnd w:id="3"/>
    </w:p>
    <w:p w14:paraId="3BDCC45E">
      <w:pPr>
        <w:rPr>
          <w:lang w:eastAsia="en-US"/>
        </w:rPr>
      </w:pPr>
    </w:p>
    <w:p w14:paraId="1829C775">
      <w:pPr>
        <w:pStyle w:val="3"/>
        <w:shd w:val="clear" w:color="auto" w:fill="D9E2F3"/>
        <w:spacing w:line="240" w:lineRule="auto"/>
        <w:rPr>
          <w:rStyle w:val="46"/>
          <w:iCs w:val="0"/>
          <w:caps w:val="0"/>
          <w:smallCaps w:val="0"/>
          <w:color w:val="2F5597" w:themeColor="accent1" w:themeShade="BF"/>
          <w:sz w:val="28"/>
        </w:rPr>
      </w:pPr>
      <w:bookmarkStart w:id="4" w:name="_Toc211869142"/>
      <w:r>
        <w:rPr>
          <w:rStyle w:val="46"/>
          <w:iCs w:val="0"/>
          <w:caps w:val="0"/>
          <w:smallCaps w:val="0"/>
          <w:color w:val="2F5597" w:themeColor="accent1" w:themeShade="BF"/>
          <w:sz w:val="28"/>
        </w:rPr>
        <w:t>Panoramica del trattamento</w:t>
      </w:r>
      <w:bookmarkEnd w:id="4"/>
    </w:p>
    <w:p w14:paraId="708D671B">
      <w:pPr>
        <w:spacing w:line="276" w:lineRule="auto"/>
      </w:pPr>
    </w:p>
    <w:p w14:paraId="046BC5D3">
      <w:pPr>
        <w:pStyle w:val="4"/>
        <w:spacing w:line="276" w:lineRule="auto"/>
      </w:pPr>
      <w:bookmarkStart w:id="5" w:name="_Toc211869143"/>
      <w:r>
        <w:t>Quale è il trattamento in considerazione?</w:t>
      </w:r>
      <w:bookmarkEnd w:id="5"/>
    </w:p>
    <w:p w14:paraId="3A6D8EBB">
      <w:pPr>
        <w:spacing w:line="276" w:lineRule="auto"/>
      </w:pP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114D1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vAlign w:val="center"/>
          </w:tcPr>
          <w:p w14:paraId="6640091F">
            <w:pPr>
              <w:pStyle w:val="341"/>
              <w:numPr>
                <w:ilvl w:val="0"/>
                <w:numId w:val="11"/>
              </w:numPr>
              <w:spacing w:line="276" w:lineRule="auto"/>
              <w:ind w:left="360" w:right="-1" w:hanging="357"/>
            </w:pPr>
            <w:r>
              <w:t>Sistema di Video Sorveglianza finalizzato per sicurezza urbana e sicurezza pubblica (impianti di contesto);</w:t>
            </w:r>
          </w:p>
          <w:p w14:paraId="1E336D92">
            <w:pPr>
              <w:pStyle w:val="341"/>
              <w:numPr>
                <w:ilvl w:val="0"/>
                <w:numId w:val="11"/>
              </w:numPr>
              <w:spacing w:line="276" w:lineRule="auto"/>
              <w:ind w:left="360" w:right="-1" w:hanging="357"/>
            </w:pPr>
            <w:r>
              <w:t>Sistemi di Lettura Targhe per il perseguimento di finalità di polizia amministrativa e/o di polizia giudiziaria;</w:t>
            </w:r>
          </w:p>
          <w:p w14:paraId="4B7F4B8A">
            <w:pPr>
              <w:pStyle w:val="341"/>
              <w:numPr>
                <w:ilvl w:val="0"/>
                <w:numId w:val="11"/>
              </w:numPr>
              <w:spacing w:line="276" w:lineRule="auto"/>
              <w:ind w:left="360" w:right="-1" w:hanging="357"/>
            </w:pPr>
            <w:r>
              <w:t xml:space="preserve">Dispositivi Dash Cam per il perseguimento di finalità di polizia amministrativa e/o di polizia giudiziaria. </w:t>
            </w:r>
            <w:bookmarkStart w:id="6" w:name="_Hlk167356342"/>
            <w:bookmarkEnd w:id="6"/>
          </w:p>
        </w:tc>
      </w:tr>
    </w:tbl>
    <w:p w14:paraId="45F09457">
      <w:pPr>
        <w:spacing w:line="276" w:lineRule="auto"/>
      </w:pPr>
    </w:p>
    <w:p w14:paraId="375EF6D5">
      <w:pPr>
        <w:spacing w:line="276" w:lineRule="auto"/>
      </w:pPr>
      <w:r>
        <w:t>Con riguardo alle esigenze istituzionali e organizzative, l’attività di monitoraggio attraverso sistema di videosorveglianza ha le seguenti finalità conformi alle funzioni istituzionali attribuite al Comune di Induno Olona:</w:t>
      </w:r>
    </w:p>
    <w:p w14:paraId="545D2640">
      <w:pPr>
        <w:spacing w:line="276" w:lineRule="auto"/>
      </w:pP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590A9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48C519E0">
            <w:pPr>
              <w:pStyle w:val="341"/>
              <w:numPr>
                <w:ilvl w:val="0"/>
                <w:numId w:val="11"/>
              </w:numPr>
              <w:spacing w:line="276" w:lineRule="auto"/>
              <w:ind w:left="360" w:right="-1" w:hanging="357"/>
            </w:pPr>
            <w:r>
              <w:t>attuazione di un sistema di sicurezza integrata ai sensi dell’articolo 2 del D. L. 14/2017;</w:t>
            </w:r>
          </w:p>
          <w:p w14:paraId="466E1C1C">
            <w:pPr>
              <w:pStyle w:val="341"/>
              <w:numPr>
                <w:ilvl w:val="0"/>
                <w:numId w:val="11"/>
              </w:numPr>
              <w:spacing w:line="276" w:lineRule="auto"/>
              <w:ind w:left="360" w:right="-1" w:hanging="357"/>
            </w:pPr>
            <w:r>
              <w:t>tutela della sicurezza urbana e della sicurezza pubblica;</w:t>
            </w:r>
          </w:p>
          <w:p w14:paraId="749B3FC2">
            <w:pPr>
              <w:pStyle w:val="341"/>
              <w:numPr>
                <w:ilvl w:val="0"/>
                <w:numId w:val="11"/>
              </w:numPr>
              <w:spacing w:line="276" w:lineRule="auto"/>
              <w:ind w:left="360" w:right="-1" w:hanging="357"/>
            </w:pPr>
            <w:r>
              <w:t>tutela della protezione civile e della sanità pubblica;</w:t>
            </w:r>
          </w:p>
          <w:p w14:paraId="215F2E16">
            <w:pPr>
              <w:pStyle w:val="341"/>
              <w:numPr>
                <w:ilvl w:val="0"/>
                <w:numId w:val="11"/>
              </w:numPr>
              <w:spacing w:line="276" w:lineRule="auto"/>
              <w:ind w:left="360" w:right="-1" w:hanging="357"/>
            </w:pPr>
            <w:r>
              <w:t>tutela della sicurezza stradale;</w:t>
            </w:r>
          </w:p>
          <w:p w14:paraId="4B3B1E30">
            <w:pPr>
              <w:pStyle w:val="341"/>
              <w:numPr>
                <w:ilvl w:val="0"/>
                <w:numId w:val="11"/>
              </w:numPr>
              <w:spacing w:line="276" w:lineRule="auto"/>
              <w:ind w:left="360" w:right="-1" w:hanging="357"/>
            </w:pPr>
            <w:r>
              <w:t>tutela ambientale e polizia amministrativa;</w:t>
            </w:r>
          </w:p>
          <w:p w14:paraId="18121EED">
            <w:pPr>
              <w:pStyle w:val="341"/>
              <w:numPr>
                <w:ilvl w:val="0"/>
                <w:numId w:val="11"/>
              </w:numPr>
              <w:spacing w:line="276" w:lineRule="auto"/>
              <w:ind w:left="360" w:right="-1" w:hanging="357"/>
            </w:pPr>
            <w:r>
              <w:t xml:space="preserve">prevenzione, indagine, accertamento e perseguimento di reati o esecuzione di sanzioni penali. </w:t>
            </w:r>
          </w:p>
        </w:tc>
      </w:tr>
    </w:tbl>
    <w:p w14:paraId="083FA8D0">
      <w:pPr>
        <w:spacing w:line="276" w:lineRule="auto"/>
      </w:pPr>
    </w:p>
    <w:p w14:paraId="4717BC9A">
      <w:pPr>
        <w:spacing w:line="276" w:lineRule="auto"/>
      </w:pPr>
      <w:r>
        <w:t>L'utilizzo del sistema di videosorveglianza per finalità di prevenzione, indagine, accertamento e perseguimento di reati o esecuzione di sanzioni penali, con sistematico accesso da parte delle forze di polizia di cui all’art. 16 della legge n. 121/1981, a competenza generale e quindi con la condivisione dei dati e individuazione delle finalità deve essere specificamente disciplinato in conformità alle disposizioni del D. Lgs. n. 51/2018.</w:t>
      </w:r>
    </w:p>
    <w:p w14:paraId="72025A41">
      <w:pPr>
        <w:spacing w:line="276" w:lineRule="auto"/>
      </w:pPr>
    </w:p>
    <w:p w14:paraId="474D1272">
      <w:pPr>
        <w:pStyle w:val="4"/>
      </w:pPr>
      <w:bookmarkStart w:id="7" w:name="_Toc211869144"/>
      <w:r>
        <w:t>Quali sono le responsabilità connesse al trattamento?</w:t>
      </w:r>
      <w:bookmarkEnd w:id="7"/>
    </w:p>
    <w:p w14:paraId="60C030F6">
      <w:pPr>
        <w:spacing w:line="276" w:lineRule="auto"/>
      </w:pP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63842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49A08CD7">
            <w:pPr>
              <w:pStyle w:val="341"/>
              <w:numPr>
                <w:ilvl w:val="0"/>
                <w:numId w:val="11"/>
              </w:numPr>
              <w:spacing w:line="276" w:lineRule="auto"/>
              <w:ind w:left="360" w:right="-1" w:hanging="357"/>
            </w:pPr>
            <w:r>
              <w:t>Titolare del trattamento ai sensi dell’art. 4 n. 7) del Regolamento (UE) 2017/679 è il Comune di Induno Olona;</w:t>
            </w:r>
          </w:p>
          <w:p w14:paraId="5BC7AA13">
            <w:pPr>
              <w:pStyle w:val="341"/>
              <w:numPr>
                <w:ilvl w:val="0"/>
                <w:numId w:val="11"/>
              </w:numPr>
              <w:spacing w:line="276" w:lineRule="auto"/>
              <w:ind w:left="360" w:right="-1" w:hanging="357"/>
            </w:pPr>
            <w:r>
              <w:t>Responsabile del trattamento ai sensi dell’art. 28 del Regolamento (UE) 2017/679 è l’azienda manutentrice degli impianti di videosorveglianza: Enet Solutions s.r.l., con sede in Via Palmiro Togliatti 3, 21010 Cardano al Campo (VA), P.I. 03106950128.</w:t>
            </w:r>
          </w:p>
          <w:p w14:paraId="34CD7123">
            <w:pPr>
              <w:pStyle w:val="341"/>
              <w:numPr>
                <w:ilvl w:val="0"/>
                <w:numId w:val="11"/>
              </w:numPr>
              <w:spacing w:line="276" w:lineRule="auto"/>
              <w:ind w:left="360" w:right="-1" w:hanging="357"/>
            </w:pPr>
            <w:r>
              <w:t>Titolari autonomi: le autorità pubbliche che svolgono attività di Polizia Giudiziaria e di Pubblica sicurezza e che possono avere accesso ai e/o ricevere i dati dei sistemi di videosorveglianza in base alle leggi vigenti;</w:t>
            </w:r>
          </w:p>
          <w:p w14:paraId="1F78A7A4">
            <w:pPr>
              <w:pStyle w:val="341"/>
              <w:numPr>
                <w:ilvl w:val="0"/>
                <w:numId w:val="11"/>
              </w:numPr>
              <w:spacing w:line="276" w:lineRule="auto"/>
              <w:ind w:left="360" w:right="-1" w:hanging="357"/>
            </w:pPr>
            <w:r>
              <w:t xml:space="preserve">Soggetti designati o autorizzati: Il responsabile dell’ufficio di Polizia Locale ed eventuali dipendenti del corpo di Polizia Locale che possono trattare i dati personali e che hanno accesso al sistema di videosorveglianza, ai sensi dell’articolo 29 del Regolamento (UE) 2016/679 e dell’art. 2-quaterdecies del decreto legislativo n. 196/2003. </w:t>
            </w:r>
          </w:p>
        </w:tc>
      </w:tr>
    </w:tbl>
    <w:p w14:paraId="6E374B80">
      <w:pPr>
        <w:spacing w:line="276" w:lineRule="auto"/>
      </w:pP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98" w:type="dxa"/>
          <w:bottom w:w="170" w:type="dxa"/>
          <w:right w:w="108" w:type="dxa"/>
        </w:tblCellMar>
      </w:tblPr>
      <w:tblGrid>
        <w:gridCol w:w="9628"/>
      </w:tblGrid>
      <w:tr w14:paraId="5DAE5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98" w:type="dxa"/>
            <w:bottom w:w="170" w:type="dxa"/>
            <w:right w:w="108" w:type="dxa"/>
          </w:tblCellMar>
        </w:tblPrEx>
        <w:tc>
          <w:tcPr>
            <w:tcW w:w="9628" w:type="dxa"/>
            <w:tcBorders>
              <w:top w:val="single" w:color="538135" w:sz="12" w:space="0"/>
              <w:left w:val="single" w:color="538135" w:sz="12" w:space="0"/>
              <w:bottom w:val="single" w:color="538135" w:sz="12" w:space="0"/>
              <w:right w:val="single" w:color="538135" w:sz="12" w:space="0"/>
              <w:insideH w:val="single" w:sz="12" w:space="0"/>
              <w:insideV w:val="single" w:sz="12" w:space="0"/>
            </w:tcBorders>
            <w:shd w:val="clear" w:color="auto" w:fill="E2EFD9" w:themeFill="accent6" w:themeFillTint="33"/>
          </w:tcPr>
          <w:p w14:paraId="253BFDE2">
            <w:pPr>
              <w:spacing w:line="276" w:lineRule="auto"/>
            </w:pPr>
            <w:r>
              <w:rPr>
                <w:b/>
                <w:bCs/>
              </w:rPr>
              <w:t xml:space="preserve">Valutazione: </w:t>
            </w:r>
            <w:r>
              <w:t>Accettabile</w:t>
            </w:r>
          </w:p>
          <w:p w14:paraId="62478CFC">
            <w:pPr>
              <w:spacing w:before="0" w:after="3" w:line="276" w:lineRule="auto"/>
            </w:pPr>
            <w:r>
              <w:t>Commento di valutazione: La descrizione generale del trattamento è esaustiva.</w:t>
            </w:r>
          </w:p>
        </w:tc>
      </w:tr>
    </w:tbl>
    <w:p w14:paraId="21E4EC21">
      <w:r>
        <w:br w:type="page"/>
      </w:r>
    </w:p>
    <w:p w14:paraId="2EACFC89">
      <w:pPr>
        <w:pStyle w:val="3"/>
        <w:shd w:val="clear" w:color="auto" w:fill="D9E2F3"/>
        <w:spacing w:line="240" w:lineRule="auto"/>
        <w:rPr>
          <w:rStyle w:val="46"/>
          <w:iCs w:val="0"/>
          <w:caps w:val="0"/>
          <w:smallCaps w:val="0"/>
          <w:color w:val="2F5597" w:themeColor="accent1" w:themeShade="BF"/>
          <w:sz w:val="28"/>
        </w:rPr>
      </w:pPr>
      <w:bookmarkStart w:id="8" w:name="_Toc211869145"/>
      <w:r>
        <w:rPr>
          <w:rStyle w:val="46"/>
          <w:iCs w:val="0"/>
          <w:caps w:val="0"/>
          <w:smallCaps w:val="0"/>
          <w:color w:val="2F5597" w:themeColor="accent1" w:themeShade="BF"/>
          <w:sz w:val="28"/>
        </w:rPr>
        <w:t>Dati, processi e risorse di supporto</w:t>
      </w:r>
      <w:bookmarkEnd w:id="8"/>
    </w:p>
    <w:p w14:paraId="2C796FE6"/>
    <w:p w14:paraId="09CBB7AD">
      <w:pPr>
        <w:pStyle w:val="4"/>
      </w:pPr>
      <w:bookmarkStart w:id="9" w:name="_Toc211869146"/>
      <w:r>
        <w:t>Quali sono i dati trattati?</w:t>
      </w:r>
      <w:bookmarkEnd w:id="9"/>
    </w:p>
    <w:p w14:paraId="1BC822DA">
      <w:pPr>
        <w:spacing w:line="276" w:lineRule="auto"/>
      </w:pP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439C2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754D44AB">
            <w:pPr>
              <w:pStyle w:val="341"/>
              <w:numPr>
                <w:ilvl w:val="0"/>
                <w:numId w:val="11"/>
              </w:numPr>
              <w:spacing w:line="276" w:lineRule="auto"/>
              <w:ind w:left="360" w:right="-1" w:hanging="357"/>
            </w:pPr>
            <w:r>
              <w:t>Immagini e video acquisiti tramite videocamere di contesto, di lettura targhe e dashcam;</w:t>
            </w:r>
          </w:p>
          <w:p w14:paraId="27DEAC8A">
            <w:pPr>
              <w:pStyle w:val="341"/>
              <w:numPr>
                <w:ilvl w:val="0"/>
                <w:numId w:val="11"/>
              </w:numPr>
              <w:spacing w:line="276" w:lineRule="auto"/>
              <w:ind w:left="360" w:right="-1" w:hanging="357"/>
            </w:pPr>
            <w:r>
              <w:t>Numeri di targa acquisiti mediante videocamere con software di lettura targhe;</w:t>
            </w:r>
          </w:p>
          <w:p w14:paraId="4BCFB9A2">
            <w:pPr>
              <w:pStyle w:val="341"/>
              <w:numPr>
                <w:ilvl w:val="0"/>
                <w:numId w:val="11"/>
              </w:numPr>
              <w:spacing w:line="276" w:lineRule="auto"/>
              <w:ind w:left="360" w:right="-1" w:hanging="357"/>
            </w:pPr>
            <w:r>
              <w:t xml:space="preserve">Dati personali afferenti allo stato di revisione e assicurazione dei veicoli in transito. </w:t>
            </w:r>
          </w:p>
        </w:tc>
      </w:tr>
    </w:tbl>
    <w:p w14:paraId="22D01FEE">
      <w:pPr>
        <w:spacing w:line="276" w:lineRule="auto"/>
      </w:pPr>
    </w:p>
    <w:p w14:paraId="5E416318">
      <w:pPr>
        <w:pStyle w:val="4"/>
        <w:spacing w:line="276" w:lineRule="auto"/>
      </w:pPr>
      <w:bookmarkStart w:id="10" w:name="_Toc211869147"/>
      <w:r>
        <w:t>Qual è il ciclo di vita del trattamento dei dati (descrizione funzionale)?</w:t>
      </w:r>
      <w:bookmarkEnd w:id="10"/>
    </w:p>
    <w:p w14:paraId="6F208AA6">
      <w:pPr>
        <w:spacing w:line="276" w:lineRule="auto"/>
      </w:pPr>
    </w:p>
    <w:p w14:paraId="5BD0FB55">
      <w:pPr>
        <w:spacing w:line="276" w:lineRule="auto"/>
      </w:pPr>
      <w:r>
        <w:t>Acquisizione:</w:t>
      </w: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359AE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246C5616">
            <w:pPr>
              <w:pStyle w:val="341"/>
              <w:numPr>
                <w:ilvl w:val="0"/>
                <w:numId w:val="12"/>
              </w:numPr>
              <w:spacing w:line="276" w:lineRule="auto"/>
              <w:ind w:left="360" w:right="-1" w:hanging="360"/>
            </w:pPr>
            <w:r>
              <w:t>I dispositivi acquisiscono immagini e video, eventualmente accompagnati da altre informazioni quali targhe di autoveicoli che vengono ripresi quando transitano in prossimità dei sistemi di videosorveglianza, con i relativi riferimenti temporali.</w:t>
            </w:r>
            <w:bookmarkStart w:id="11" w:name="_Hlk167357068"/>
            <w:bookmarkEnd w:id="11"/>
          </w:p>
        </w:tc>
      </w:tr>
    </w:tbl>
    <w:p w14:paraId="72374CE1">
      <w:pPr>
        <w:spacing w:line="276" w:lineRule="auto"/>
      </w:pPr>
    </w:p>
    <w:p w14:paraId="243E4B7A">
      <w:pPr>
        <w:spacing w:line="276" w:lineRule="auto"/>
      </w:pPr>
      <w:r>
        <w:t>Trasmissione:</w:t>
      </w: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7B722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3CB2DD6F">
            <w:pPr>
              <w:pStyle w:val="341"/>
              <w:numPr>
                <w:ilvl w:val="0"/>
                <w:numId w:val="12"/>
              </w:numPr>
              <w:spacing w:line="276" w:lineRule="auto"/>
              <w:ind w:left="360" w:right="-1" w:hanging="360"/>
            </w:pPr>
            <w:r>
              <w:t>La trasmissione dei dati recuperati tramite telecamere di contesto avviene tramite: Cavi / Ponti radio su una rete dedicata;</w:t>
            </w:r>
          </w:p>
          <w:p w14:paraId="4EF1EC55">
            <w:pPr>
              <w:pStyle w:val="341"/>
              <w:numPr>
                <w:ilvl w:val="0"/>
                <w:numId w:val="12"/>
              </w:numPr>
              <w:spacing w:line="276" w:lineRule="auto"/>
              <w:ind w:left="360" w:right="-1" w:hanging="360"/>
            </w:pPr>
            <w:r>
              <w:t>La trasmissione dei dati recuperati tramite impianti di lettura targhe avviene tramite: Ponti radio su una rete dedicata;</w:t>
            </w:r>
          </w:p>
          <w:p w14:paraId="62A5CAEE">
            <w:pPr>
              <w:pStyle w:val="341"/>
              <w:numPr>
                <w:ilvl w:val="0"/>
                <w:numId w:val="12"/>
              </w:numPr>
              <w:spacing w:line="276" w:lineRule="auto"/>
              <w:ind w:left="360" w:right="-1" w:hanging="360"/>
            </w:pPr>
            <w:r>
              <w:t>Le immagini raccolte tramite telecamere di contesto e lettura targhe sono memorizzate in Server dedicati. La capacità di banda è idonea al trasferimento delle immagini in funzione delle caratteristiche delle telecamere, del numero di telecamere e della topologia dalla rete di trasporto.  Inoltre, in conformità rispetto a quanto richiesto al paragrafo 3.3.1 comma f) dal “Provvedimento in Materia di Videosorveglianza” dell’8 aprile 2010 del Garante per la protezione dei dati personali, i flussi video delle telecamere di contesto e lettura targhe effettuati tramite ponti radio sono crittografati mediante chiave WPA2-AES;</w:t>
            </w:r>
          </w:p>
          <w:p w14:paraId="23780683">
            <w:pPr>
              <w:pStyle w:val="341"/>
              <w:numPr>
                <w:ilvl w:val="0"/>
                <w:numId w:val="12"/>
              </w:numPr>
              <w:spacing w:line="276" w:lineRule="auto"/>
              <w:ind w:left="360" w:right="-1" w:hanging="360"/>
            </w:pPr>
            <w:r>
              <w:t>La trasmissione dei dati recuperati tramite dashcam avviene tramite acquisizione diretta delle immagini da parte dei dispositivi. Le immagini raccolte tramite dashcam sono memorizzate all'interno di scheda sd dedicata che viene svuotata al termine di ciascun intervento e utilizzo della dashcam, trasferendo gli eventuali filmati rilevanti all'interno di cartelle dedicate sui client degli operatori di Polizia Locale autorizzati.</w:t>
            </w:r>
          </w:p>
        </w:tc>
      </w:tr>
    </w:tbl>
    <w:p w14:paraId="39BCFA7F">
      <w:pPr>
        <w:spacing w:line="276" w:lineRule="auto"/>
      </w:pPr>
    </w:p>
    <w:p w14:paraId="3E112EA8">
      <w:pPr>
        <w:spacing w:line="276" w:lineRule="auto"/>
      </w:pPr>
      <w:r>
        <w:t>Memorizzazione:</w:t>
      </w: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52725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0492BF88">
            <w:pPr>
              <w:pStyle w:val="341"/>
              <w:numPr>
                <w:ilvl w:val="0"/>
                <w:numId w:val="13"/>
              </w:numPr>
              <w:spacing w:line="276" w:lineRule="auto"/>
              <w:ind w:left="360" w:right="-1" w:hanging="360"/>
            </w:pPr>
            <w:r>
              <w:t>La memorizzazione dei dati provenienti dalle telecamere di contesto e lettura targhe avviene su server dedicato;</w:t>
            </w:r>
          </w:p>
          <w:p w14:paraId="131807D8">
            <w:pPr>
              <w:pStyle w:val="341"/>
              <w:numPr>
                <w:ilvl w:val="0"/>
                <w:numId w:val="13"/>
              </w:numPr>
              <w:spacing w:line="276" w:lineRule="auto"/>
              <w:ind w:left="360" w:right="-1" w:hanging="360"/>
            </w:pPr>
            <w:r>
              <w:t xml:space="preserve">La memorizzazione dei dati raccolti dalle dashcam avviene su memoria interna sd rimovibile. </w:t>
            </w:r>
          </w:p>
        </w:tc>
      </w:tr>
    </w:tbl>
    <w:p w14:paraId="727473BB">
      <w:pPr>
        <w:spacing w:line="276" w:lineRule="auto"/>
      </w:pPr>
    </w:p>
    <w:p w14:paraId="112976DF">
      <w:pPr>
        <w:spacing w:line="276" w:lineRule="auto"/>
      </w:pPr>
      <w:r>
        <w:t>Conservazione:</w:t>
      </w:r>
    </w:p>
    <w:tbl>
      <w:tblPr>
        <w:tblStyle w:val="20"/>
        <w:tblW w:w="96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08"/>
      </w:tblGrid>
      <w:tr w14:paraId="5CE1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0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54D67C91">
            <w:pPr>
              <w:pStyle w:val="341"/>
              <w:numPr>
                <w:ilvl w:val="0"/>
                <w:numId w:val="11"/>
              </w:numPr>
              <w:spacing w:line="276" w:lineRule="auto"/>
              <w:ind w:left="360" w:right="-1" w:hanging="357"/>
            </w:pPr>
            <w:r>
              <w:t>I dati raccolti mediante telecamere di contesto vengono conservati per 7 giorni;</w:t>
            </w:r>
          </w:p>
          <w:p w14:paraId="5D1F7D76">
            <w:pPr>
              <w:pStyle w:val="341"/>
              <w:numPr>
                <w:ilvl w:val="0"/>
                <w:numId w:val="11"/>
              </w:numPr>
              <w:spacing w:line="276" w:lineRule="auto"/>
              <w:ind w:left="360" w:right="-1" w:hanging="357"/>
            </w:pPr>
            <w:r>
              <w:t>I dati relativi ai transiti (fotogrammi, data, ora e numero di targa) raccolti mediante impianti di lettura targhe possono essere conservati fino a 180 giorni;</w:t>
            </w:r>
          </w:p>
          <w:p w14:paraId="01DC96EF">
            <w:pPr>
              <w:pStyle w:val="341"/>
              <w:numPr>
                <w:ilvl w:val="0"/>
                <w:numId w:val="11"/>
              </w:numPr>
              <w:spacing w:line="276" w:lineRule="auto"/>
              <w:ind w:left="360" w:right="-1" w:hanging="357"/>
            </w:pPr>
            <w:r>
              <w:t>I dati raccolti mediante dashcam vengono conservati per un periodo non superiore a 7 giorni.</w:t>
            </w:r>
          </w:p>
          <w:p w14:paraId="0FDFEEF8">
            <w:pPr>
              <w:pStyle w:val="341"/>
              <w:spacing w:line="276" w:lineRule="auto"/>
              <w:ind w:left="0" w:right="-1" w:firstLine="0"/>
            </w:pPr>
            <w:r>
              <w:t xml:space="preserve">La conservazione potrà essere prorogata oltre i termini temporali sopra esposti per esigenze di indagine / polizia giudiziaria e/o in presenza di eventuali obblighi di legge gravanti sul Titolare del trattamento. </w:t>
            </w:r>
          </w:p>
        </w:tc>
      </w:tr>
    </w:tbl>
    <w:p w14:paraId="1353396C">
      <w:pPr>
        <w:spacing w:line="276" w:lineRule="auto"/>
      </w:pPr>
    </w:p>
    <w:p w14:paraId="23394D17">
      <w:pPr>
        <w:spacing w:line="276" w:lineRule="auto"/>
      </w:pPr>
      <w:r>
        <w:t>Cancellazione:</w:t>
      </w: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20C50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62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3C2A13B9">
            <w:pPr>
              <w:pStyle w:val="341"/>
              <w:numPr>
                <w:ilvl w:val="0"/>
                <w:numId w:val="14"/>
              </w:numPr>
              <w:spacing w:line="276" w:lineRule="auto"/>
              <w:ind w:left="360" w:right="-1" w:hanging="360"/>
            </w:pPr>
            <w:r>
              <w:t>I dati relativi agli impianti di videosorveglianza registrati sui server delle telecamere di contesto sono sovrascritti automaticamente dopo 7 giorni;</w:t>
            </w:r>
          </w:p>
          <w:p w14:paraId="361007F9">
            <w:pPr>
              <w:pStyle w:val="341"/>
              <w:numPr>
                <w:ilvl w:val="0"/>
                <w:numId w:val="14"/>
              </w:numPr>
              <w:spacing w:line="276" w:lineRule="auto"/>
              <w:ind w:left="360" w:right="-1" w:hanging="360"/>
            </w:pPr>
            <w:r>
              <w:t>I dati relativi agli impianti di videosorveglianza registrati sui server delle telecamere di contesto e di lettura targhe sono sovrascritti automaticamente dopo il periodo massimo di conservazione di 180 giorni;</w:t>
            </w:r>
          </w:p>
          <w:p w14:paraId="0BF9A861">
            <w:pPr>
              <w:pStyle w:val="341"/>
              <w:numPr>
                <w:ilvl w:val="0"/>
                <w:numId w:val="14"/>
              </w:numPr>
              <w:spacing w:line="276" w:lineRule="auto"/>
              <w:ind w:left="360" w:right="-1" w:hanging="360"/>
            </w:pPr>
            <w:r>
              <w:t xml:space="preserve">I dati raccolti tramite dispositivi mobili sono cancellati manualmente dopo un periodo non superiore a 7 giorni. </w:t>
            </w:r>
          </w:p>
          <w:p w14:paraId="283FAC62">
            <w:pPr>
              <w:pStyle w:val="341"/>
              <w:spacing w:line="276" w:lineRule="auto"/>
              <w:ind w:right="-1" w:firstLine="0"/>
            </w:pPr>
            <w:r>
              <w:t xml:space="preserve">Sono fatte salve le esigenze di ulteriore conservazione delle immagini sulla base di idonei presupposti di legge. </w:t>
            </w:r>
          </w:p>
        </w:tc>
      </w:tr>
    </w:tbl>
    <w:p w14:paraId="2C05C0DE">
      <w:pPr>
        <w:spacing w:line="276" w:lineRule="auto"/>
      </w:pPr>
    </w:p>
    <w:p w14:paraId="741152C2">
      <w:pPr>
        <w:pStyle w:val="4"/>
      </w:pPr>
      <w:bookmarkStart w:id="12" w:name="_Toc211869148"/>
      <w:r>
        <w:t>Quali sono le risorse di supporto ai dati?</w:t>
      </w:r>
      <w:bookmarkEnd w:id="12"/>
    </w:p>
    <w:p w14:paraId="51C06ADE">
      <w:pPr>
        <w:spacing w:line="276" w:lineRule="auto"/>
      </w:pPr>
    </w:p>
    <w:p w14:paraId="4197601D">
      <w:pPr>
        <w:spacing w:line="276" w:lineRule="auto"/>
      </w:pPr>
      <w:r>
        <w:t>Il sistema è composto dalle seguenti componenti:</w:t>
      </w: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3E6E5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62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3780475B">
            <w:pPr>
              <w:pStyle w:val="341"/>
              <w:numPr>
                <w:ilvl w:val="0"/>
                <w:numId w:val="11"/>
              </w:numPr>
              <w:spacing w:line="276" w:lineRule="auto"/>
              <w:ind w:left="360" w:right="-1" w:hanging="357"/>
            </w:pPr>
            <w:r>
              <w:t>Sistemi di acquisizione: composti da n. 55 telecamere di contesto, n. 6 telecamere di lettura targhe, n. 2 dashcam, come da scheda allegata (ALLEGATO A);</w:t>
            </w:r>
          </w:p>
          <w:p w14:paraId="3190B1E0">
            <w:pPr>
              <w:pStyle w:val="341"/>
              <w:numPr>
                <w:ilvl w:val="0"/>
                <w:numId w:val="11"/>
              </w:numPr>
              <w:spacing w:line="276" w:lineRule="auto"/>
              <w:ind w:left="360" w:right="-1" w:hanging="357"/>
            </w:pPr>
            <w:r>
              <w:t>Sistemi di trasmissione: composti da rete cablata / rete preferenziale;</w:t>
            </w:r>
          </w:p>
          <w:p w14:paraId="7B691C06">
            <w:pPr>
              <w:pStyle w:val="341"/>
              <w:numPr>
                <w:ilvl w:val="0"/>
                <w:numId w:val="11"/>
              </w:numPr>
              <w:spacing w:line="276" w:lineRule="auto"/>
              <w:ind w:left="360" w:right="-1" w:hanging="357"/>
            </w:pPr>
            <w:r>
              <w:t xml:space="preserve">Sistemi di memorizzazione: n. 2 server rispettivamente per telecamere di contesto e di lettura targhe. Per quanto riguarda i dispositivi mobili, memoria interna sd rimovibile (per le specifiche tecniche vedasi ALLEGATO A). </w:t>
            </w:r>
            <w:bookmarkStart w:id="13" w:name="_Hlk170311926"/>
            <w:bookmarkEnd w:id="13"/>
          </w:p>
        </w:tc>
      </w:tr>
    </w:tbl>
    <w:p w14:paraId="2FB2B5FE">
      <w:pPr>
        <w:spacing w:line="276" w:lineRule="auto"/>
      </w:pP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98" w:type="dxa"/>
          <w:bottom w:w="170" w:type="dxa"/>
          <w:right w:w="108" w:type="dxa"/>
        </w:tblCellMar>
      </w:tblPr>
      <w:tblGrid>
        <w:gridCol w:w="9628"/>
      </w:tblGrid>
      <w:tr w14:paraId="4631B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98" w:type="dxa"/>
            <w:bottom w:w="170" w:type="dxa"/>
            <w:right w:w="108" w:type="dxa"/>
          </w:tblCellMar>
        </w:tblPrEx>
        <w:tc>
          <w:tcPr>
            <w:tcW w:w="9628" w:type="dxa"/>
            <w:tcBorders>
              <w:top w:val="single" w:color="538135" w:sz="12" w:space="0"/>
              <w:left w:val="single" w:color="538135" w:sz="12" w:space="0"/>
              <w:bottom w:val="single" w:color="538135" w:sz="12" w:space="0"/>
              <w:right w:val="single" w:color="538135" w:sz="12" w:space="0"/>
              <w:insideH w:val="single" w:sz="12" w:space="0"/>
              <w:insideV w:val="single" w:sz="12" w:space="0"/>
            </w:tcBorders>
            <w:shd w:val="clear" w:color="auto" w:fill="E2EFD9" w:themeFill="accent6" w:themeFillTint="33"/>
          </w:tcPr>
          <w:p w14:paraId="22D95C71">
            <w:pPr>
              <w:spacing w:line="276" w:lineRule="auto"/>
              <w:rPr>
                <w:b/>
                <w:bCs/>
              </w:rPr>
            </w:pPr>
            <w:r>
              <w:rPr>
                <w:b/>
                <w:bCs/>
              </w:rPr>
              <w:t xml:space="preserve">Valutazione: </w:t>
            </w:r>
            <w:r>
              <w:t>Accettabile</w:t>
            </w:r>
          </w:p>
          <w:p w14:paraId="421800EB">
            <w:pPr>
              <w:spacing w:before="0" w:after="3" w:line="276" w:lineRule="auto"/>
            </w:pPr>
            <w:r>
              <w:t>Commento di valutazione: La descrizione dell’infrastruttura è esauriente.</w:t>
            </w:r>
          </w:p>
        </w:tc>
      </w:tr>
    </w:tbl>
    <w:p w14:paraId="5D0F680B">
      <w:pPr>
        <w:spacing w:before="0" w:after="160" w:line="259" w:lineRule="auto"/>
        <w:ind w:right="0" w:firstLine="0"/>
        <w:jc w:val="left"/>
      </w:pPr>
      <w:r>
        <w:br w:type="page"/>
      </w:r>
    </w:p>
    <w:p w14:paraId="3F439E6B">
      <w:pPr>
        <w:pStyle w:val="3"/>
        <w:shd w:val="clear" w:color="auto" w:fill="D9E2F3"/>
        <w:spacing w:line="240" w:lineRule="auto"/>
        <w:rPr>
          <w:rStyle w:val="46"/>
          <w:iCs w:val="0"/>
          <w:caps w:val="0"/>
          <w:smallCaps w:val="0"/>
          <w:color w:val="2F5597" w:themeColor="accent1" w:themeShade="BF"/>
          <w:sz w:val="28"/>
        </w:rPr>
      </w:pPr>
      <w:bookmarkStart w:id="14" w:name="_Toc211869149"/>
      <w:r>
        <w:rPr>
          <w:rStyle w:val="46"/>
          <w:iCs w:val="0"/>
          <w:caps w:val="0"/>
          <w:smallCaps w:val="0"/>
          <w:color w:val="2F5597" w:themeColor="accent1" w:themeShade="BF"/>
          <w:sz w:val="28"/>
        </w:rPr>
        <w:t>Principi Fondamentali</w:t>
      </w:r>
      <w:bookmarkEnd w:id="14"/>
    </w:p>
    <w:p w14:paraId="02FB1F83"/>
    <w:p w14:paraId="385B7F44">
      <w:pPr>
        <w:pStyle w:val="4"/>
      </w:pPr>
      <w:bookmarkStart w:id="15" w:name="_Toc211869150"/>
      <w:r>
        <w:t>Proporzionalità e necessità</w:t>
      </w:r>
      <w:bookmarkEnd w:id="15"/>
    </w:p>
    <w:p w14:paraId="4C914273">
      <w:pPr>
        <w:spacing w:line="276" w:lineRule="auto"/>
      </w:pPr>
    </w:p>
    <w:p w14:paraId="560F6908">
      <w:pPr>
        <w:spacing w:line="276" w:lineRule="auto"/>
      </w:pPr>
      <w:r>
        <w:t>Gli scopi del trattamento sono specifici, espliciti e legittimi?</w:t>
      </w:r>
    </w:p>
    <w:p w14:paraId="1722BB40">
      <w:pPr>
        <w:spacing w:line="276" w:lineRule="auto"/>
      </w:pPr>
      <w:r>
        <w:t>Le finalità del trattamento e i dati trattati:</w:t>
      </w:r>
    </w:p>
    <w:tbl>
      <w:tblPr>
        <w:tblStyle w:val="20"/>
        <w:tblW w:w="96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08"/>
      </w:tblGrid>
      <w:tr w14:paraId="1D8BF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0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622DEAAB">
            <w:pPr>
              <w:pStyle w:val="341"/>
              <w:numPr>
                <w:ilvl w:val="0"/>
                <w:numId w:val="11"/>
              </w:numPr>
              <w:spacing w:line="276" w:lineRule="auto"/>
              <w:ind w:left="360" w:right="-1" w:hanging="357"/>
            </w:pPr>
            <w:r>
              <w:t>Sono conformi al principio di minimizzazione dei dati acquisiti e trattati, sono esplicitati nelle informative rese agli interessati, mediante cartellonistica e informativa estesa presente sul sito web comunale e a disposizione su richiesta in formato cartaceo;</w:t>
            </w:r>
          </w:p>
          <w:p w14:paraId="51E97A5D">
            <w:pPr>
              <w:pStyle w:val="341"/>
              <w:numPr>
                <w:ilvl w:val="0"/>
                <w:numId w:val="11"/>
              </w:numPr>
              <w:spacing w:line="276" w:lineRule="auto"/>
              <w:ind w:left="360" w:right="-1" w:hanging="357"/>
            </w:pPr>
            <w:r>
              <w:t>Sono legittime in quanto supportate da idonea base giuridica;</w:t>
            </w:r>
          </w:p>
          <w:p w14:paraId="54325243">
            <w:pPr>
              <w:pStyle w:val="341"/>
              <w:numPr>
                <w:ilvl w:val="0"/>
                <w:numId w:val="11"/>
              </w:numPr>
              <w:spacing w:line="276" w:lineRule="auto"/>
              <w:ind w:left="360" w:right="-1" w:hanging="357"/>
            </w:pPr>
            <w:r>
              <w:t xml:space="preserve">Sono legittime in quanto perseguono finalità di interesse pubblico. </w:t>
            </w:r>
          </w:p>
        </w:tc>
      </w:tr>
    </w:tbl>
    <w:p w14:paraId="7330616D">
      <w:pPr>
        <w:spacing w:line="276" w:lineRule="auto"/>
      </w:pPr>
    </w:p>
    <w:p w14:paraId="2E1675EB">
      <w:pPr>
        <w:spacing w:line="276" w:lineRule="auto"/>
      </w:pPr>
      <w:r>
        <w:t>Il trattamento dei dati personali è conforme al principio di limitazione della finalità di cui all’art. 5 par. 1 lett. b) del GDPR.</w:t>
      </w:r>
    </w:p>
    <w:p w14:paraId="36340D5C">
      <w:pPr>
        <w:spacing w:line="276" w:lineRule="auto"/>
      </w:pPr>
      <w:r>
        <w:t>In particolare, le finalità del trattamento sono:</w:t>
      </w: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36055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662EE6F3">
            <w:pPr>
              <w:pStyle w:val="341"/>
              <w:numPr>
                <w:ilvl w:val="0"/>
                <w:numId w:val="11"/>
              </w:numPr>
              <w:spacing w:line="276" w:lineRule="auto"/>
              <w:ind w:left="360" w:right="-1" w:hanging="357"/>
            </w:pPr>
            <w:r>
              <w:t>Specifiche ed esplicite: le finalità del trattamento sono indicate specificamente nell’informativa di primo livello (cartellonistica), nell’informativa di secondo livello (informativa estesa sul sito internet dell’ente) e nel regolamento comunale sulla videosorveglianza;</w:t>
            </w:r>
          </w:p>
          <w:p w14:paraId="2EC798B3">
            <w:pPr>
              <w:pStyle w:val="341"/>
              <w:numPr>
                <w:ilvl w:val="0"/>
                <w:numId w:val="11"/>
              </w:numPr>
              <w:spacing w:line="276" w:lineRule="auto"/>
              <w:ind w:left="360" w:right="-1" w:hanging="357"/>
            </w:pPr>
            <w:r>
              <w:t>Legittime: le finalità del trattamento sono supportate da idonea base giuridica, rappresentata nello specifico dall’art. 6 par. 1 lett. e) del GDPR.  Con riferimento alla segnaletica di avvertimento, il Comune sta provvedendo all'aggiornamento della segnaletica in modo tale da renderla conforme agli orientamenti stabiliti dal Comitato europeo per la protezione dei dati nelle linee guida EDPB n. 3/2019. L'installazione della segnaletica aggiornata è prevista entro la fine del 2026. Invece, con riferimento all'informativa estesa, il Comune ha provveduto a pubblicare una informativa estesa aggiornata relativa alle telecamere di contesto e di lettura targhe;</w:t>
            </w:r>
          </w:p>
          <w:p w14:paraId="09ED7967">
            <w:pPr>
              <w:pStyle w:val="341"/>
              <w:numPr>
                <w:ilvl w:val="0"/>
                <w:numId w:val="11"/>
              </w:numPr>
              <w:spacing w:line="276" w:lineRule="auto"/>
              <w:ind w:left="360" w:right="-1" w:hanging="357"/>
            </w:pPr>
            <w:r>
              <w:t xml:space="preserve">Al momento, invece, le dashcam in dotazione non sono utilizzate in attesa di stipulazione accordo sindacale con RSU, ai sensi dell'art. 4 della legge n. 300/1970 e di adozione di un disciplinare sull'utilizzo dei dispositivi mobili. </w:t>
            </w:r>
          </w:p>
          <w:p w14:paraId="05EA1ACB">
            <w:pPr>
              <w:pStyle w:val="341"/>
              <w:numPr>
                <w:ilvl w:val="0"/>
                <w:numId w:val="11"/>
              </w:numPr>
              <w:spacing w:line="276" w:lineRule="auto"/>
              <w:ind w:left="360" w:right="-1" w:hanging="357"/>
            </w:pPr>
            <w:r>
              <w:t>Infine, il Comune ha provveduto all’adozione di un regolamento aggiornato in materia di videosorveglianza, nel mese 2026.</w:t>
            </w:r>
          </w:p>
        </w:tc>
      </w:tr>
    </w:tbl>
    <w:p w14:paraId="5E94A455">
      <w:pPr>
        <w:spacing w:line="276" w:lineRule="auto"/>
      </w:pPr>
    </w:p>
    <w:p w14:paraId="774ECEE4">
      <w:pPr>
        <w:spacing w:line="276" w:lineRule="auto"/>
      </w:pPr>
      <w:r>
        <w:t>La proporzionalità del trattamento rispetto alle finalità perseguite è giustificata dal fatto che si verificano periodicamente episodi di vandalismo, di criminalità in genere e di danneggiamento al patrimonio comunale, oltre a episodi di illecito smaltimento dei rifiuti sul medesimo territorio.</w:t>
      </w:r>
    </w:p>
    <w:p w14:paraId="5D39D576">
      <w:pPr>
        <w:spacing w:line="276" w:lineRule="auto"/>
      </w:pP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56C75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538135" w:sz="12" w:space="0"/>
              <w:left w:val="single" w:color="538135" w:sz="12" w:space="0"/>
              <w:bottom w:val="single" w:color="538135" w:sz="12" w:space="0"/>
              <w:right w:val="single" w:color="538135" w:sz="12" w:space="0"/>
              <w:insideH w:val="single" w:sz="12" w:space="0"/>
              <w:insideV w:val="single" w:sz="12" w:space="0"/>
            </w:tcBorders>
            <w:shd w:val="clear" w:color="auto" w:fill="E2EFD9" w:themeFill="accent6" w:themeFillTint="33"/>
          </w:tcPr>
          <w:p w14:paraId="47CC3EB6">
            <w:pPr>
              <w:spacing w:line="276" w:lineRule="auto"/>
              <w:rPr>
                <w:b/>
                <w:bCs/>
              </w:rPr>
            </w:pPr>
            <w:r>
              <w:rPr>
                <w:b/>
                <w:bCs/>
              </w:rPr>
              <w:t xml:space="preserve">Valutazione: </w:t>
            </w:r>
            <w:r>
              <w:t>Accettabile</w:t>
            </w:r>
          </w:p>
          <w:p w14:paraId="3A601343">
            <w:pPr>
              <w:spacing w:before="0" w:after="3" w:line="276" w:lineRule="auto"/>
            </w:pPr>
            <w:r>
              <w:t xml:space="preserve">Commento di valutazione: Gli scopi del trattamento sono specifici, espliciti e legittimi. Inoltre, lo scenario descritto giustifica l’adozione dei sistemi di videosorveglianza per aumentare il livello di deterrenza rispetto a comportamenti illeciti sul territorio comunale. Si raccomanda l'adozione degli atti aggiornati prefissati dall'Ente. </w:t>
            </w:r>
          </w:p>
        </w:tc>
      </w:tr>
    </w:tbl>
    <w:p w14:paraId="005BE05C"/>
    <w:p w14:paraId="6A4A7626">
      <w:pPr>
        <w:spacing w:line="276" w:lineRule="auto"/>
      </w:pPr>
      <w:r>
        <w:t>Quali sono le basi giuridiche che rendono lecito il trattamento?</w:t>
      </w: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5077B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7941B8F9">
            <w:pPr>
              <w:pStyle w:val="341"/>
              <w:numPr>
                <w:ilvl w:val="0"/>
                <w:numId w:val="11"/>
              </w:numPr>
              <w:spacing w:line="276" w:lineRule="auto"/>
              <w:ind w:left="360" w:right="-1" w:hanging="357"/>
            </w:pPr>
            <w:r>
              <w:t>La base giuridica che legittima il trattamento è rappresentata dall’art. 6 lett. e) del Regolamento UE 2016/679 secondo cui il trattamento è svolto per l’esecuzione di un compito di interesse pubblico o comunque connesso all’esercizio di pubblici poteri.</w:t>
            </w:r>
          </w:p>
          <w:p w14:paraId="6D83B3BB">
            <w:pPr>
              <w:pStyle w:val="341"/>
              <w:numPr>
                <w:ilvl w:val="0"/>
                <w:numId w:val="11"/>
              </w:numPr>
              <w:spacing w:line="276" w:lineRule="auto"/>
              <w:ind w:left="360" w:right="-1" w:hanging="357"/>
            </w:pPr>
            <w:r>
              <w:t>In particolare, il trattamento trova la sua base giuridica principale nel Decreto legge n. 11/2009, convertito con modificazioni dalla L. 23 aprile 2009, n. 38. Ai sensi dell’art. 6, co. 7 del Decreto legge citato, “Per la tutela della sicurezza urbana, i comuni possono utilizzare sistemi di videosorveglianza in luoghi pubblici o aperti al pubblico”.</w:t>
            </w:r>
          </w:p>
          <w:p w14:paraId="30B55A24">
            <w:pPr>
              <w:pStyle w:val="341"/>
              <w:numPr>
                <w:ilvl w:val="0"/>
                <w:numId w:val="11"/>
              </w:numPr>
              <w:spacing w:line="276" w:lineRule="auto"/>
              <w:ind w:left="360" w:right="-1" w:hanging="357"/>
            </w:pPr>
            <w:r>
              <w:t>Inoltre, ai sensi dell’art. 5 co. 2 lett. a) del Decreto legge n. 14/2017, convertito con modificazioni dalla L. 18 aprile 2017, n. 48, i patti per la sicurezza urbana sottoscritti tra sindaci e prefetti perseguono l’obiettivo di prevenire e contra-stare “fenomeni di criminalità diffusa e predatoria” anche “attraverso l’installazione di sistemi di videosorveglianza”.</w:t>
            </w:r>
          </w:p>
          <w:p w14:paraId="32B204C7">
            <w:pPr>
              <w:pStyle w:val="341"/>
              <w:numPr>
                <w:ilvl w:val="0"/>
                <w:numId w:val="11"/>
              </w:numPr>
              <w:spacing w:line="276" w:lineRule="auto"/>
              <w:ind w:left="360" w:right="-1" w:hanging="357"/>
            </w:pPr>
            <w:r>
              <w:t xml:space="preserve">A tale riguardo, il Comune di Induno Olona ha stipulato un patto per la sicurezza urbana con il Prefetto di Varese e ha comunicato i progetti di installazione degli impianti di videosorveglianza alla Prefettura per l’approvazione in sede di Comitato provinciale per l’ordine e la sicurezza pubblica. </w:t>
            </w:r>
          </w:p>
        </w:tc>
      </w:tr>
    </w:tbl>
    <w:p w14:paraId="78746058">
      <w:pPr>
        <w:spacing w:line="276" w:lineRule="auto"/>
      </w:pP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3199E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628" w:type="dxa"/>
            <w:tcBorders>
              <w:top w:val="single" w:color="538135" w:sz="12" w:space="0"/>
              <w:left w:val="single" w:color="538135" w:sz="12" w:space="0"/>
              <w:bottom w:val="single" w:color="538135" w:sz="12" w:space="0"/>
              <w:right w:val="single" w:color="538135" w:sz="12" w:space="0"/>
              <w:insideH w:val="single" w:sz="12" w:space="0"/>
              <w:insideV w:val="single" w:sz="12" w:space="0"/>
            </w:tcBorders>
            <w:shd w:val="clear" w:color="auto" w:fill="E2EFD9" w:themeFill="accent6" w:themeFillTint="33"/>
          </w:tcPr>
          <w:p w14:paraId="41263901">
            <w:pPr>
              <w:spacing w:line="276" w:lineRule="auto"/>
              <w:rPr>
                <w:b/>
                <w:bCs/>
              </w:rPr>
            </w:pPr>
            <w:r>
              <w:rPr>
                <w:b/>
                <w:bCs/>
              </w:rPr>
              <w:t xml:space="preserve">Valutazione: </w:t>
            </w:r>
            <w:r>
              <w:t>Accettabile</w:t>
            </w:r>
          </w:p>
          <w:p w14:paraId="5CFA9821">
            <w:pPr>
              <w:spacing w:before="0" w:after="3" w:line="276" w:lineRule="auto"/>
            </w:pPr>
            <w:r>
              <w:t>Commento di valutazione: Le basi giuridiche del trattamento sono correttamente individuate.</w:t>
            </w:r>
          </w:p>
        </w:tc>
      </w:tr>
    </w:tbl>
    <w:p w14:paraId="0565F394"/>
    <w:p w14:paraId="54CBB7B7">
      <w:pPr>
        <w:pStyle w:val="4"/>
      </w:pPr>
      <w:bookmarkStart w:id="16" w:name="_Toc211869151"/>
      <w:r>
        <w:t>I dati trattati sono adeguati, pertinenti e limitati a quanto è necessario in relazione alle finalità per cui sono trattati (minimizzazione dei dati)?</w:t>
      </w:r>
      <w:bookmarkEnd w:id="16"/>
    </w:p>
    <w:p w14:paraId="3DAA60A6">
      <w:pPr>
        <w:spacing w:line="276" w:lineRule="auto"/>
      </w:pPr>
    </w:p>
    <w:p w14:paraId="114E56F3">
      <w:pPr>
        <w:spacing w:line="276" w:lineRule="auto"/>
      </w:pPr>
      <w:r>
        <w:t>I dati trattati sono esclusivamente quelli necessari per le finalità perseguite dal sistema di videosorveglianza.</w:t>
      </w:r>
    </w:p>
    <w:p w14:paraId="609A4C19">
      <w:pPr>
        <w:spacing w:line="276" w:lineRule="auto"/>
      </w:pP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33754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62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777EADD7">
            <w:pPr>
              <w:pStyle w:val="341"/>
              <w:numPr>
                <w:ilvl w:val="0"/>
                <w:numId w:val="11"/>
              </w:numPr>
              <w:spacing w:line="276" w:lineRule="auto"/>
              <w:ind w:left="360" w:right="-1" w:hanging="357"/>
            </w:pPr>
            <w:r>
              <w:t>In particolare, per quanto riguarda le riprese effettuate con telecamere di contesto, l’inquadramento delle riprese è circoscritto all’area di interesse per la finalità perseguita, in modo da escludere zone non rilevanti per la finalità della videosorveglianza;</w:t>
            </w:r>
          </w:p>
          <w:p w14:paraId="737D4FAB">
            <w:pPr>
              <w:pStyle w:val="341"/>
              <w:numPr>
                <w:ilvl w:val="0"/>
                <w:numId w:val="11"/>
              </w:numPr>
              <w:spacing w:line="276" w:lineRule="auto"/>
              <w:ind w:left="360" w:right="-1" w:hanging="357"/>
            </w:pPr>
            <w:r>
              <w:t>Risultano presenti n. 3 telecamere di contesto che riprendono gli accessi al Comune e all'edificio della Polizia Locale, per fini di tutela del patrimonio comunale. Il Titolare del trattamento sta provvedendo a stipulare accordo sindacale con la RSU ai sensi dell'art. 4 della legge n. 300/1970;</w:t>
            </w:r>
          </w:p>
          <w:p w14:paraId="2D632B85">
            <w:pPr>
              <w:pStyle w:val="341"/>
              <w:numPr>
                <w:ilvl w:val="0"/>
                <w:numId w:val="11"/>
              </w:numPr>
              <w:spacing w:line="276" w:lineRule="auto"/>
              <w:ind w:left="360" w:right="-1" w:hanging="357"/>
            </w:pPr>
            <w:r>
              <w:t>Le telecamere di lettura targhe sono dotate di software di analisi delle targhe che effettua lo zoom sulle targhe dei veicoli in passaggio;</w:t>
            </w:r>
          </w:p>
          <w:p w14:paraId="398085E9">
            <w:pPr>
              <w:pStyle w:val="341"/>
              <w:numPr>
                <w:ilvl w:val="0"/>
                <w:numId w:val="11"/>
              </w:numPr>
              <w:spacing w:line="276" w:lineRule="auto"/>
              <w:ind w:left="360" w:right="-1" w:hanging="357"/>
            </w:pPr>
            <w:r>
              <w:t>Le dashcam in dotazione, sulla base del disciplinare in fase di adozione, potranno essere attivate dal personale di polizia soltanto in caso di specifici interventi in cui per la sicurezza e l’incolumità del personale di polizia sia necessario registrare l’intervento con il veicolo di polizia locale, nonché previa stipulazione di accordo sindacale con la RSU di cui all’art. 4 della legge n. 300/1970.</w:t>
            </w:r>
          </w:p>
        </w:tc>
      </w:tr>
    </w:tbl>
    <w:p w14:paraId="30CD24BA">
      <w:pPr>
        <w:spacing w:line="276" w:lineRule="auto"/>
      </w:pP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542AB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538135" w:sz="12" w:space="0"/>
              <w:left w:val="single" w:color="538135" w:sz="12" w:space="0"/>
              <w:bottom w:val="single" w:color="538135" w:sz="12" w:space="0"/>
              <w:right w:val="single" w:color="538135" w:sz="12" w:space="0"/>
              <w:insideH w:val="single" w:sz="12" w:space="0"/>
              <w:insideV w:val="single" w:sz="12" w:space="0"/>
            </w:tcBorders>
            <w:shd w:val="clear" w:color="auto" w:fill="E2EFD9" w:themeFill="accent6" w:themeFillTint="33"/>
          </w:tcPr>
          <w:p w14:paraId="47DB12C8">
            <w:pPr>
              <w:spacing w:line="276" w:lineRule="auto"/>
              <w:rPr>
                <w:b/>
                <w:bCs/>
              </w:rPr>
            </w:pPr>
            <w:r>
              <w:rPr>
                <w:b/>
                <w:bCs/>
              </w:rPr>
              <w:t xml:space="preserve">Valutazione: </w:t>
            </w:r>
            <w:r>
              <w:t>Accettabile</w:t>
            </w:r>
          </w:p>
          <w:p w14:paraId="5ED1E8C0">
            <w:pPr>
              <w:spacing w:before="0" w:after="3" w:line="276" w:lineRule="auto"/>
            </w:pPr>
            <w:r>
              <w:t>Commento di valutazione: I dati raccolti sono adeguati, pertinenti e limitati. Il principio di minimizzazione è adeguatamente attuato dal titolare del trattamento.</w:t>
            </w:r>
            <w:bookmarkStart w:id="17" w:name="_Hlk167372095"/>
            <w:bookmarkEnd w:id="17"/>
          </w:p>
        </w:tc>
      </w:tr>
    </w:tbl>
    <w:p w14:paraId="0DF70050"/>
    <w:p w14:paraId="32E93CAD">
      <w:pPr>
        <w:pStyle w:val="4"/>
      </w:pPr>
      <w:bookmarkStart w:id="18" w:name="_Toc211869152"/>
      <w:r>
        <w:t>I dati sono esatti e aggiornati?</w:t>
      </w:r>
      <w:bookmarkEnd w:id="18"/>
    </w:p>
    <w:p w14:paraId="6626AE3C">
      <w:pPr>
        <w:spacing w:line="276" w:lineRule="auto"/>
      </w:pPr>
    </w:p>
    <w:p w14:paraId="15C6EDD1">
      <w:pPr>
        <w:spacing w:line="276" w:lineRule="auto"/>
      </w:pPr>
      <w:r>
        <w:t>Le immagini raccolte e/o le targhe raccolti/e sono esatti e aggiornati. In caso di estrapolazione dei dati, vengono applicate tecniche per garantire la riconoscibilità e autenticità del dato (hashing).</w:t>
      </w:r>
    </w:p>
    <w:p w14:paraId="6E5F44B3">
      <w:pPr>
        <w:spacing w:line="276" w:lineRule="auto"/>
      </w:pP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37BE9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538135" w:sz="12" w:space="0"/>
              <w:left w:val="single" w:color="538135" w:sz="12" w:space="0"/>
              <w:bottom w:val="single" w:color="538135" w:sz="12" w:space="0"/>
              <w:right w:val="single" w:color="538135" w:sz="12" w:space="0"/>
              <w:insideH w:val="single" w:sz="12" w:space="0"/>
              <w:insideV w:val="single" w:sz="12" w:space="0"/>
            </w:tcBorders>
            <w:shd w:val="clear" w:color="auto" w:fill="E2EFD9" w:themeFill="accent6" w:themeFillTint="33"/>
          </w:tcPr>
          <w:p w14:paraId="3A8E3530">
            <w:pPr>
              <w:spacing w:line="276" w:lineRule="auto"/>
              <w:rPr>
                <w:b/>
                <w:bCs/>
              </w:rPr>
            </w:pPr>
            <w:r>
              <w:rPr>
                <w:b/>
                <w:bCs/>
              </w:rPr>
              <w:t xml:space="preserve">Valutazione: </w:t>
            </w:r>
            <w:r>
              <w:t>Accettabile</w:t>
            </w:r>
          </w:p>
          <w:p w14:paraId="43D9C7D1">
            <w:pPr>
              <w:spacing w:before="0" w:after="3" w:line="276" w:lineRule="auto"/>
              <w:rPr>
                <w:highlight w:val="yellow"/>
              </w:rPr>
            </w:pPr>
            <w:r>
              <w:t>Commento di valutazione: I principi di esattezza e di aggiornamento dei dati sono adeguatamente attuati dal titolare del trattamento.</w:t>
            </w:r>
          </w:p>
        </w:tc>
      </w:tr>
    </w:tbl>
    <w:p w14:paraId="350909D6"/>
    <w:p w14:paraId="37958165">
      <w:pPr>
        <w:pStyle w:val="4"/>
      </w:pPr>
      <w:bookmarkStart w:id="19" w:name="_Toc211869153"/>
      <w:r>
        <w:t>Qual è il periodo di conservazione dei dati?</w:t>
      </w:r>
      <w:bookmarkEnd w:id="19"/>
    </w:p>
    <w:p w14:paraId="7E432CE3">
      <w:pPr>
        <w:spacing w:line="276" w:lineRule="auto"/>
      </w:pPr>
    </w:p>
    <w:p w14:paraId="3C696AD3">
      <w:pPr>
        <w:spacing w:line="276" w:lineRule="auto"/>
      </w:pPr>
      <w:r>
        <w:t>Come previsto nel Regolamento comunale sulla videosorveglianza, i termini di conservazione dei dati sono stabiliti in conformità alla normativa applicabile sia europea sia di livello nazionale (GDPR, D.lgs. n. 51 del 2018, Provvedimenti Garante Privacy, eventuale normativa o provvedimenti o circolari speciale per casistiche specifiche). I termini di conservazione delle immagini e delle videoriprese sono determinati considerando ciascuna finalità in concreto perseguita e sulla base del principio di limitazione della conservazione di cui all’art. 5 par. 1 lett. e) del Regolamento (UE) 2016/679 e di cui all’art. 3 comma 1 lett. e) del D.lgs. n. 51/2018 attuativo della Direttiva (UE) 2016/680.</w:t>
      </w:r>
    </w:p>
    <w:p w14:paraId="2D0CD66F">
      <w:pPr>
        <w:spacing w:line="276" w:lineRule="auto"/>
      </w:pP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3F09A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3FBFA97B">
            <w:pPr>
              <w:pStyle w:val="341"/>
              <w:numPr>
                <w:ilvl w:val="0"/>
                <w:numId w:val="11"/>
              </w:numPr>
              <w:spacing w:line="276" w:lineRule="auto"/>
              <w:ind w:left="360" w:right="-1" w:hanging="357"/>
            </w:pPr>
            <w:r>
              <w:t>I dati raccolti mediante telecamere di contesto vengono conservati per 7 giorni;</w:t>
            </w:r>
          </w:p>
          <w:p w14:paraId="3F1F4159">
            <w:pPr>
              <w:pStyle w:val="341"/>
              <w:numPr>
                <w:ilvl w:val="0"/>
                <w:numId w:val="11"/>
              </w:numPr>
              <w:spacing w:line="276" w:lineRule="auto"/>
              <w:ind w:left="360" w:right="-1" w:hanging="357"/>
            </w:pPr>
            <w:r>
              <w:t>I dati raccolti mediante impianti di lettura targhe vengono conservati per un periodo massimo di 180 giorni. La conservazione dei dati relativi ai transiti per un periodo massimo di 180 giorni è giustificata sulla base della necessità di perseguire un compito di interesse pubblico, ai sensi dell'art. 2-ter del d.lgs. n. 196/2003. In particolare, tale periodo di conservazione è ritenuto necessario al fine di consentire la gestione delle richieste di accesso da parte dell'autorità giudiziaria e delle forze dell'ordine relative a indagini e attività di polizia giudiziaria, per le quali è spesso indispensabile garantire la disponibilità di dati relativi ai transiti anche a distanza di sei mesi antecedenti alla richiesta pervenuta all'ufficio di Polizia Locale; il tutto nel contesto del patto per l'attuazione della sicurezza urbana e degli ulteriori accordi vigenti che coinvolgono Comune di Induno Olona e Prefettura insieme ad altri soggetti istituzionali, allo scopo di favorire la sicurezza integrata e lo scambio di informazioni tra Comune e autorità competenti in materia di prevenzione, accertamento e perseguimento di reati;</w:t>
            </w:r>
          </w:p>
          <w:p w14:paraId="7B57D7A9">
            <w:pPr>
              <w:pStyle w:val="341"/>
              <w:numPr>
                <w:ilvl w:val="0"/>
                <w:numId w:val="11"/>
              </w:numPr>
              <w:spacing w:line="276" w:lineRule="auto"/>
              <w:ind w:left="360" w:right="-1" w:hanging="357"/>
            </w:pPr>
            <w:r>
              <w:t xml:space="preserve">I dati raccolti mediante dashcam potranno essere conservati per un periodo non superiore a 7 giorni.  Sono fatte salve esigenze di ulteriore conservazione sulla base di idonei presupposti di legge. </w:t>
            </w:r>
          </w:p>
        </w:tc>
      </w:tr>
    </w:tbl>
    <w:p w14:paraId="751FC908">
      <w:pPr>
        <w:spacing w:line="276" w:lineRule="auto"/>
      </w:pPr>
    </w:p>
    <w:p w14:paraId="2A3137E8">
      <w:pPr>
        <w:spacing w:line="276" w:lineRule="auto"/>
      </w:pPr>
      <w:r>
        <w:t>La conservazione potrà essere prorogata oltre i termini temporali sopra esposti per esigenze di indagine / polizia giudiziaria e/o in presenza di eventuali obblighi di legge gravanti sul Titolare o Contitolari o Designato Responsabile al trattamento dati.</w:t>
      </w:r>
    </w:p>
    <w:p w14:paraId="69396E2A">
      <w:pPr>
        <w:spacing w:line="276" w:lineRule="auto"/>
      </w:pP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3DC59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538135" w:sz="12" w:space="0"/>
              <w:left w:val="single" w:color="538135" w:sz="12" w:space="0"/>
              <w:bottom w:val="single" w:color="538135" w:sz="12" w:space="0"/>
              <w:right w:val="single" w:color="538135" w:sz="12" w:space="0"/>
              <w:insideH w:val="single" w:sz="12" w:space="0"/>
              <w:insideV w:val="single" w:sz="12" w:space="0"/>
            </w:tcBorders>
            <w:shd w:val="clear" w:color="auto" w:fill="E2EFD9" w:themeFill="accent6" w:themeFillTint="33"/>
          </w:tcPr>
          <w:p w14:paraId="4209BB00">
            <w:pPr>
              <w:spacing w:line="276" w:lineRule="auto"/>
              <w:rPr>
                <w:b/>
                <w:bCs/>
              </w:rPr>
            </w:pPr>
            <w:r>
              <w:rPr>
                <w:b/>
                <w:bCs/>
              </w:rPr>
              <w:t xml:space="preserve">Valutazione: </w:t>
            </w:r>
            <w:r>
              <w:t>Accettabile</w:t>
            </w:r>
          </w:p>
          <w:p w14:paraId="2D8FB9D9">
            <w:pPr>
              <w:spacing w:before="0" w:after="3" w:line="276" w:lineRule="auto"/>
              <w:rPr>
                <w:highlight w:val="yellow"/>
              </w:rPr>
            </w:pPr>
            <w:r>
              <w:t>Commento di valutazione: I periodi di conservazione delle immagini sono individuati correttamente in conformità al principio di limitazione della conservazione.</w:t>
            </w:r>
          </w:p>
        </w:tc>
      </w:tr>
    </w:tbl>
    <w:p w14:paraId="323FC721"/>
    <w:p w14:paraId="4BFA1E59">
      <w:pPr>
        <w:pStyle w:val="4"/>
      </w:pPr>
      <w:bookmarkStart w:id="20" w:name="_Toc211869154"/>
      <w:r>
        <w:t>Misure a tutela dei diritti degli interessati</w:t>
      </w:r>
      <w:bookmarkEnd w:id="20"/>
    </w:p>
    <w:p w14:paraId="5ECA83EF">
      <w:pPr>
        <w:spacing w:line="276" w:lineRule="auto"/>
      </w:pPr>
    </w:p>
    <w:p w14:paraId="12222923">
      <w:pPr>
        <w:spacing w:line="276" w:lineRule="auto"/>
      </w:pPr>
      <w:r>
        <w:t>Come sono informati del trattamento gli interessati?</w:t>
      </w:r>
    </w:p>
    <w:tbl>
      <w:tblPr>
        <w:tblStyle w:val="20"/>
        <w:tblW w:w="96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08"/>
      </w:tblGrid>
      <w:tr w14:paraId="6CC1F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0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17576776">
            <w:pPr>
              <w:pStyle w:val="341"/>
              <w:numPr>
                <w:ilvl w:val="0"/>
                <w:numId w:val="11"/>
              </w:numPr>
              <w:spacing w:line="276" w:lineRule="auto"/>
              <w:ind w:left="360" w:right="-1" w:hanging="357"/>
            </w:pPr>
            <w:r>
              <w:t>Segnaletica in fase di aggiornamento - entro la fine del 20256 - in modo di garantire la conformità allo schema di cui alle linee guida EDPB n. 3/2019 in prossimità delle telecamere;</w:t>
            </w:r>
          </w:p>
          <w:p w14:paraId="35C9EE52">
            <w:pPr>
              <w:pStyle w:val="341"/>
              <w:numPr>
                <w:ilvl w:val="0"/>
                <w:numId w:val="11"/>
              </w:numPr>
              <w:spacing w:line="276" w:lineRule="auto"/>
              <w:ind w:left="360" w:right="-1" w:hanging="357"/>
            </w:pPr>
            <w:r>
              <w:t>Informativa estesa reperibile sul sito internet istituzionale, in sezione dedicata a “</w:t>
            </w:r>
            <w:r>
              <w:rPr>
                <w:i/>
                <w:iCs/>
              </w:rPr>
              <w:t>Informativa sul trattamento dei dati - Videosorveglianza</w:t>
            </w:r>
            <w:r>
              <w:t>” raggiungibile dalla homepage del sito internet del Comune;</w:t>
            </w:r>
          </w:p>
          <w:p w14:paraId="0F7D8125">
            <w:pPr>
              <w:pStyle w:val="341"/>
              <w:numPr>
                <w:ilvl w:val="0"/>
                <w:numId w:val="11"/>
              </w:numPr>
              <w:spacing w:line="276" w:lineRule="auto"/>
              <w:ind w:left="360" w:right="-1" w:hanging="357"/>
            </w:pPr>
            <w:r>
              <w:t xml:space="preserve">Informative estese su moduli cartacei presso gli uffici comunali. </w:t>
            </w:r>
          </w:p>
        </w:tc>
      </w:tr>
    </w:tbl>
    <w:p w14:paraId="33933A73">
      <w:pPr>
        <w:spacing w:line="276" w:lineRule="auto"/>
      </w:pPr>
    </w:p>
    <w:tbl>
      <w:tblPr>
        <w:tblStyle w:val="20"/>
        <w:tblW w:w="96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08"/>
      </w:tblGrid>
      <w:tr w14:paraId="29A4A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08" w:type="dxa"/>
            <w:tcBorders>
              <w:top w:val="single" w:color="538135" w:sz="12" w:space="0"/>
              <w:left w:val="single" w:color="538135" w:sz="12" w:space="0"/>
              <w:bottom w:val="single" w:color="538135" w:sz="12" w:space="0"/>
              <w:right w:val="single" w:color="538135" w:sz="12" w:space="0"/>
              <w:insideH w:val="single" w:sz="12" w:space="0"/>
              <w:insideV w:val="single" w:sz="12" w:space="0"/>
            </w:tcBorders>
            <w:shd w:val="clear" w:color="auto" w:fill="E2EFD9" w:themeFill="accent6" w:themeFillTint="33"/>
          </w:tcPr>
          <w:p w14:paraId="04BA644C">
            <w:pPr>
              <w:spacing w:line="276" w:lineRule="auto"/>
              <w:rPr>
                <w:b/>
                <w:bCs/>
              </w:rPr>
            </w:pPr>
            <w:r>
              <w:rPr>
                <w:b/>
                <w:bCs/>
              </w:rPr>
              <w:t xml:space="preserve">Valutazione: </w:t>
            </w:r>
            <w:r>
              <w:t>Accettabile</w:t>
            </w:r>
          </w:p>
          <w:p w14:paraId="04CADA95">
            <w:pPr>
              <w:spacing w:before="0" w:after="3" w:line="276" w:lineRule="auto"/>
              <w:rPr>
                <w:highlight w:val="yellow"/>
              </w:rPr>
            </w:pPr>
            <w:r>
              <w:t>Commento di valutazione: Il Titolare del trattamento ottempera ai propri obblighi informativi ai sensi dell’art. 13 del Regolamento (UE) 2016/679 e dell'art. 10 del D. Lgs. n. 51/2018, e si raccomanda la sostituzione della segnaletica non aggiornata entro la fine del 2025, come proposto.</w:t>
            </w:r>
            <w:bookmarkStart w:id="21" w:name="_Hlk167374813"/>
            <w:bookmarkEnd w:id="21"/>
          </w:p>
        </w:tc>
      </w:tr>
    </w:tbl>
    <w:p w14:paraId="5F92D113"/>
    <w:p w14:paraId="27FC698A">
      <w:pPr>
        <w:pStyle w:val="4"/>
      </w:pPr>
      <w:bookmarkStart w:id="22" w:name="_Toc211869155"/>
      <w:r>
        <w:t>Come fanno gli interessati a esercitare i loro diritti di accesso e di portabilità dei dati?</w:t>
      </w:r>
      <w:bookmarkEnd w:id="22"/>
    </w:p>
    <w:p w14:paraId="6C8B18F1">
      <w:pPr>
        <w:spacing w:line="276" w:lineRule="auto"/>
      </w:pPr>
    </w:p>
    <w:p w14:paraId="52C3175C">
      <w:pPr>
        <w:spacing w:line="276" w:lineRule="auto"/>
      </w:pPr>
      <w:r>
        <w:t>L’interessato ha il diritto di ottenere dal titolare del trattamento la conferma che sia o meno in corso un trattamento di dati personali che lo riguardano e, in tal caso, di ottenere le informazioni di cui all’art. 15 del Regolamento (UE) 2016/679 e l’accesso ai dati personali nel rispetto delle condizioni prescritte nel regolamento comunale sulla videosorveglianza, e fermi restando eventuali limiti al loro esercizio, in particolare con riferimento all’art. 23 del Regolamento (UE) 2016/679</w:t>
      </w:r>
    </w:p>
    <w:p w14:paraId="4EEE6F82">
      <w:pPr>
        <w:spacing w:line="276" w:lineRule="auto"/>
      </w:pPr>
      <w:r>
        <w:t>Le modalità per esercitare il diritto di accesso sono disciplinate dal regolamento comunale in materia di videosorveglianza. Quest’ultimo disciplina anche le modalità per l’accesso ai filmati di videosorveglianza sulla base dell’art. 22 della legge n. 241/1990.</w:t>
      </w:r>
    </w:p>
    <w:p w14:paraId="2B0F7810">
      <w:pPr>
        <w:spacing w:line="276" w:lineRule="auto"/>
      </w:pPr>
      <w:r>
        <w:t>Il diritto alla portabilità non può essere esercitato dal momento che il trattamento in questione è effettuato in esecuzione di un compito di interesse pubblico o comunque correlato all’esercizio di pubblici poteri.</w:t>
      </w:r>
    </w:p>
    <w:p w14:paraId="2B2C2FD6">
      <w:pPr>
        <w:spacing w:line="276" w:lineRule="auto"/>
      </w:pP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5A4E1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538135" w:sz="12" w:space="0"/>
              <w:left w:val="single" w:color="538135" w:sz="12" w:space="0"/>
              <w:bottom w:val="single" w:color="538135" w:sz="12" w:space="0"/>
              <w:right w:val="single" w:color="538135" w:sz="12" w:space="0"/>
              <w:insideH w:val="single" w:sz="12" w:space="0"/>
              <w:insideV w:val="single" w:sz="12" w:space="0"/>
            </w:tcBorders>
            <w:shd w:val="clear" w:color="auto" w:fill="E2EFD9" w:themeFill="accent6" w:themeFillTint="33"/>
          </w:tcPr>
          <w:p w14:paraId="4AD40123">
            <w:pPr>
              <w:spacing w:line="276" w:lineRule="auto"/>
              <w:rPr>
                <w:b/>
                <w:bCs/>
              </w:rPr>
            </w:pPr>
            <w:r>
              <w:rPr>
                <w:b/>
                <w:bCs/>
              </w:rPr>
              <w:t xml:space="preserve">Valutazione: </w:t>
            </w:r>
            <w:r>
              <w:t>Accettabile</w:t>
            </w:r>
          </w:p>
          <w:p w14:paraId="230F5C97">
            <w:pPr>
              <w:spacing w:before="0" w:after="3" w:line="276" w:lineRule="auto"/>
              <w:rPr>
                <w:highlight w:val="yellow"/>
              </w:rPr>
            </w:pPr>
            <w:r>
              <w:t>Commento di valutazione: Gli interessati possono esercitare il diritto di accesso riconosciuto dall’art. 15 del Regolamento (UE) 2016/679, e all’interno del Regolamento comunale sulla videosorveglianza è indicata una procedura specifica in materia di diritto di accesso che possa essere seguita dagli interessati per l’accesso ai filmati di videosorveglianza, anche sulla base dell’art. 22 della legge n. 241/1990.</w:t>
            </w:r>
          </w:p>
        </w:tc>
      </w:tr>
    </w:tbl>
    <w:p w14:paraId="007B910C"/>
    <w:p w14:paraId="13AA511C">
      <w:pPr>
        <w:pStyle w:val="4"/>
      </w:pPr>
      <w:bookmarkStart w:id="23" w:name="_Toc211869156"/>
      <w:r>
        <w:t>Come fanno gli interessati a esercitare i loro diritti di rettifica e di cancellazione (diritto all’oblio)?</w:t>
      </w:r>
      <w:bookmarkEnd w:id="23"/>
    </w:p>
    <w:p w14:paraId="21A6670C">
      <w:pPr>
        <w:spacing w:line="276" w:lineRule="auto"/>
      </w:pPr>
    </w:p>
    <w:p w14:paraId="741D3CF0">
      <w:pPr>
        <w:spacing w:line="276" w:lineRule="auto"/>
      </w:pPr>
      <w:r>
        <w:t>Il diritto alla rettifica non può essere esercitato data la tipologia del trattamento effettuato.</w:t>
      </w:r>
    </w:p>
    <w:p w14:paraId="32D26936">
      <w:pPr>
        <w:spacing w:line="276" w:lineRule="auto"/>
      </w:pPr>
      <w:r>
        <w:t>Il diritto di cancellazione dei dati conservati può essere fatto valere dall’interessato attraverso comunicazione inviata al Titolare del trattamento oppure al Responsabile della protezione dei dati.</w:t>
      </w:r>
    </w:p>
    <w:p w14:paraId="466460E3">
      <w:pPr>
        <w:spacing w:line="276" w:lineRule="auto"/>
      </w:pPr>
      <w:r>
        <w:t>Il diritto alla cancellazione può essere limitato qualora sussistano le condizioni di cui all’art. 17 del Regolamento (UE) 2016/679.</w:t>
      </w:r>
    </w:p>
    <w:p w14:paraId="049A0ED2">
      <w:pPr>
        <w:spacing w:line="276" w:lineRule="auto"/>
      </w:pP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450A7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538135" w:sz="12" w:space="0"/>
              <w:left w:val="single" w:color="538135" w:sz="12" w:space="0"/>
              <w:bottom w:val="single" w:color="538135" w:sz="12" w:space="0"/>
              <w:right w:val="single" w:color="538135" w:sz="12" w:space="0"/>
              <w:insideH w:val="single" w:sz="12" w:space="0"/>
              <w:insideV w:val="single" w:sz="12" w:space="0"/>
            </w:tcBorders>
            <w:shd w:val="clear" w:color="auto" w:fill="E2EFD9" w:themeFill="accent6" w:themeFillTint="33"/>
          </w:tcPr>
          <w:p w14:paraId="2C82692E">
            <w:pPr>
              <w:spacing w:line="276" w:lineRule="auto"/>
              <w:rPr>
                <w:b/>
                <w:bCs/>
              </w:rPr>
            </w:pPr>
            <w:r>
              <w:rPr>
                <w:b/>
                <w:bCs/>
              </w:rPr>
              <w:t xml:space="preserve">Valutazione: </w:t>
            </w:r>
            <w:r>
              <w:t>Accettabile</w:t>
            </w:r>
          </w:p>
          <w:p w14:paraId="3EA68C29">
            <w:pPr>
              <w:spacing w:before="0" w:after="3" w:line="276" w:lineRule="auto"/>
              <w:rPr>
                <w:highlight w:val="yellow"/>
              </w:rPr>
            </w:pPr>
            <w:r>
              <w:t>Commento di valutazione: Il regolamento sulla videosorveglianza e l’informativa estesa sul trattamento dei dati relativo alla videosorveglianza specificano le modalità per esercitare il loro diritto di cancellazione, fermi restando i limiti al suo esercizio nei termini di cui all’art. 17 del Regolamento (UE) 2016/679.</w:t>
            </w:r>
            <w:bookmarkStart w:id="24" w:name="_Hlk167374984"/>
            <w:bookmarkEnd w:id="24"/>
          </w:p>
        </w:tc>
      </w:tr>
    </w:tbl>
    <w:p w14:paraId="16FAAE9D"/>
    <w:p w14:paraId="2C09E17F">
      <w:pPr>
        <w:pStyle w:val="4"/>
      </w:pPr>
      <w:bookmarkStart w:id="25" w:name="_Toc211869157"/>
      <w:r>
        <w:t>Come fanno gli interessati a esercitare i loro diritti di limitazione e di opposizione?</w:t>
      </w:r>
      <w:bookmarkEnd w:id="25"/>
    </w:p>
    <w:p w14:paraId="62CFD4C6">
      <w:pPr>
        <w:spacing w:line="276" w:lineRule="auto"/>
      </w:pPr>
    </w:p>
    <w:p w14:paraId="38B16772">
      <w:pPr>
        <w:spacing w:line="276" w:lineRule="auto"/>
      </w:pPr>
      <w:r>
        <w:t>I diritti di limitazione e opposizione possono essere esercitati compatibilmente con i limiti di cui all’art. 23 del Regolamento (UE) 2016/679.</w:t>
      </w:r>
    </w:p>
    <w:p w14:paraId="680DDCE8">
      <w:pPr>
        <w:spacing w:line="276" w:lineRule="auto"/>
      </w:pPr>
      <w:r>
        <w:t>Come previsto nell’informativa di primo e secondo livello, è possibile inoltrare una richiesta al titolare del trattamento mediante PEC o mediante lettera Raccomandata.</w:t>
      </w:r>
    </w:p>
    <w:p w14:paraId="6793F33B">
      <w:pPr>
        <w:spacing w:line="276" w:lineRule="auto"/>
      </w:pP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04E36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538135" w:sz="12" w:space="0"/>
              <w:left w:val="single" w:color="538135" w:sz="12" w:space="0"/>
              <w:bottom w:val="single" w:color="538135" w:sz="12" w:space="0"/>
              <w:right w:val="single" w:color="538135" w:sz="12" w:space="0"/>
              <w:insideH w:val="single" w:sz="12" w:space="0"/>
              <w:insideV w:val="single" w:sz="12" w:space="0"/>
            </w:tcBorders>
            <w:shd w:val="clear" w:color="auto" w:fill="E2EFD9" w:themeFill="accent6" w:themeFillTint="33"/>
          </w:tcPr>
          <w:p w14:paraId="53204B36">
            <w:pPr>
              <w:spacing w:line="276" w:lineRule="auto"/>
              <w:rPr>
                <w:b/>
                <w:bCs/>
              </w:rPr>
            </w:pPr>
            <w:r>
              <w:rPr>
                <w:b/>
                <w:bCs/>
              </w:rPr>
              <w:t xml:space="preserve">Valutazione: </w:t>
            </w:r>
            <w:r>
              <w:t>Accettabile</w:t>
            </w:r>
          </w:p>
          <w:p w14:paraId="55CD7E30">
            <w:pPr>
              <w:spacing w:before="0" w:after="3" w:line="276" w:lineRule="auto"/>
              <w:rPr>
                <w:highlight w:val="yellow"/>
              </w:rPr>
            </w:pPr>
            <w:r>
              <w:t>Commento di valutazione: Il Titolare del trattamento riconosce adeguate modalità di effettivo esercizio dei diritti di limitazione e opposizione, fermi restando eventuali limiti al loro esercizio compatibili con quanto stabilito dall’art. 23 del Regolamento (UE) 2016/679.</w:t>
            </w:r>
            <w:bookmarkStart w:id="26" w:name="_Hlk167379137"/>
            <w:bookmarkEnd w:id="26"/>
          </w:p>
        </w:tc>
      </w:tr>
    </w:tbl>
    <w:p w14:paraId="4269BB5C"/>
    <w:p w14:paraId="46C67890">
      <w:pPr>
        <w:pStyle w:val="4"/>
      </w:pPr>
      <w:bookmarkStart w:id="27" w:name="_Toc211869158"/>
      <w:r>
        <w:t>Gli obblighi dei responsabili del trattamento sono definiti con chiarezza e disciplinati da un contratto o atto di nomina?</w:t>
      </w:r>
      <w:bookmarkEnd w:id="27"/>
    </w:p>
    <w:p w14:paraId="23F16DB8"/>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7D6A0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53186FE8">
            <w:pPr>
              <w:pStyle w:val="341"/>
              <w:numPr>
                <w:ilvl w:val="0"/>
                <w:numId w:val="11"/>
              </w:numPr>
              <w:spacing w:line="276" w:lineRule="auto"/>
              <w:ind w:left="360" w:right="-1" w:hanging="357"/>
            </w:pPr>
            <w:r>
              <w:t>La manutenzione degli impianti di videosorveglianza è regolamentata da apposito atto di nomina a responsabile del trattamento stipulato con la ditta incaricata in seguito a gara d’appalto.</w:t>
            </w:r>
          </w:p>
        </w:tc>
      </w:tr>
    </w:tbl>
    <w:p w14:paraId="27D4F172">
      <w:pPr>
        <w:spacing w:line="276" w:lineRule="auto"/>
      </w:pPr>
    </w:p>
    <w:p w14:paraId="74FFF3D3">
      <w:pPr>
        <w:spacing w:line="276" w:lineRule="auto"/>
      </w:pPr>
      <w:r>
        <w:t>Tale atto è adottato dal Titolare del trattamento e contiene gli elementi minimi di cui all’art. 28 par. 3 del GDPR.</w:t>
      </w:r>
    </w:p>
    <w:p w14:paraId="764CBD07">
      <w:pPr>
        <w:spacing w:line="276" w:lineRule="auto"/>
      </w:pPr>
      <w:r>
        <w:t>All’interno del contratto o atto di nomina sono indicate le modalità operative per effettuare la manutenzione.</w:t>
      </w:r>
    </w:p>
    <w:p w14:paraId="7A919186">
      <w:pPr>
        <w:spacing w:line="276" w:lineRule="auto"/>
      </w:pP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6E0FA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538135" w:sz="12" w:space="0"/>
              <w:left w:val="single" w:color="538135" w:sz="12" w:space="0"/>
              <w:bottom w:val="single" w:color="538135" w:sz="12" w:space="0"/>
              <w:right w:val="single" w:color="538135" w:sz="12" w:space="0"/>
              <w:insideH w:val="single" w:sz="12" w:space="0"/>
              <w:insideV w:val="single" w:sz="12" w:space="0"/>
            </w:tcBorders>
            <w:shd w:val="clear" w:color="auto" w:fill="E2EFD9" w:themeFill="accent6" w:themeFillTint="33"/>
          </w:tcPr>
          <w:p w14:paraId="37E30BBA">
            <w:pPr>
              <w:spacing w:line="276" w:lineRule="auto"/>
              <w:rPr>
                <w:b/>
                <w:bCs/>
              </w:rPr>
            </w:pPr>
            <w:r>
              <w:rPr>
                <w:b/>
                <w:bCs/>
              </w:rPr>
              <w:t xml:space="preserve">Valutazione: </w:t>
            </w:r>
            <w:r>
              <w:t>Accettabile</w:t>
            </w:r>
          </w:p>
          <w:p w14:paraId="25AED751">
            <w:pPr>
              <w:spacing w:before="0" w:after="3" w:line="276" w:lineRule="auto"/>
              <w:rPr>
                <w:highlight w:val="yellow"/>
              </w:rPr>
            </w:pPr>
            <w:r>
              <w:t>Commento di valutazione: L’atto di nomina a responsabile del trattamento adottato permette di definire correttamente ed in trasparenza ruoli e responsabilità connesse al trattamento.</w:t>
            </w:r>
          </w:p>
        </w:tc>
      </w:tr>
    </w:tbl>
    <w:p w14:paraId="60C52273"/>
    <w:p w14:paraId="048C25CA">
      <w:pPr>
        <w:pStyle w:val="4"/>
      </w:pPr>
      <w:bookmarkStart w:id="28" w:name="_Toc211869159"/>
      <w:r>
        <w:t>In caso di trasferimento di dati al di fuori dell'Unione europea, i dati godono di una protezione equivalente?</w:t>
      </w:r>
      <w:bookmarkEnd w:id="28"/>
    </w:p>
    <w:p w14:paraId="12ADB590">
      <w:pPr>
        <w:spacing w:line="276" w:lineRule="auto"/>
      </w:pPr>
    </w:p>
    <w:p w14:paraId="4D69EF32">
      <w:pPr>
        <w:spacing w:line="276" w:lineRule="auto"/>
      </w:pPr>
      <w:r>
        <w:t>I dati non vengono trasferiti al di fuori dell'Unione europea o dello Spazio economico europeo (SEE).</w:t>
      </w:r>
    </w:p>
    <w:p w14:paraId="66C267C5">
      <w:pPr>
        <w:spacing w:line="276" w:lineRule="auto"/>
      </w:pP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44CE0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538135" w:sz="12" w:space="0"/>
              <w:left w:val="single" w:color="538135" w:sz="12" w:space="0"/>
              <w:bottom w:val="single" w:color="538135" w:sz="12" w:space="0"/>
              <w:right w:val="single" w:color="538135" w:sz="12" w:space="0"/>
              <w:insideH w:val="single" w:sz="12" w:space="0"/>
              <w:insideV w:val="single" w:sz="12" w:space="0"/>
            </w:tcBorders>
            <w:shd w:val="clear" w:color="auto" w:fill="E2EFD9" w:themeFill="accent6" w:themeFillTint="33"/>
          </w:tcPr>
          <w:p w14:paraId="402610CE">
            <w:pPr>
              <w:spacing w:line="276" w:lineRule="auto"/>
              <w:rPr>
                <w:b/>
                <w:bCs/>
              </w:rPr>
            </w:pPr>
            <w:r>
              <w:rPr>
                <w:b/>
                <w:bCs/>
              </w:rPr>
              <w:t xml:space="preserve">Valutazione: </w:t>
            </w:r>
            <w:r>
              <w:t>Accettabile</w:t>
            </w:r>
          </w:p>
          <w:p w14:paraId="7108D2A8">
            <w:pPr>
              <w:spacing w:before="0" w:after="3" w:line="276" w:lineRule="auto"/>
              <w:rPr>
                <w:highlight w:val="yellow"/>
              </w:rPr>
            </w:pPr>
            <w:r>
              <w:t>Commento di valutazione: Il mancato trasferimento dei dati verso Paesi al di fuori dell’UE, dello SEE o presso organizzazioni internazionali determina uno scenario di conformità rispetto alle disposizioni Regolamento (UE) 2016/679 per quanto riguarda i trasferimenti dei dati personali trattati.</w:t>
            </w:r>
            <w:bookmarkStart w:id="29" w:name="_Hlk167380312"/>
            <w:bookmarkEnd w:id="29"/>
          </w:p>
        </w:tc>
      </w:tr>
    </w:tbl>
    <w:p w14:paraId="5BE7FBD7">
      <w:pPr>
        <w:spacing w:before="0" w:after="160" w:line="259" w:lineRule="auto"/>
        <w:ind w:right="0" w:firstLine="0"/>
        <w:jc w:val="left"/>
      </w:pPr>
      <w:r>
        <w:br w:type="page"/>
      </w:r>
    </w:p>
    <w:p w14:paraId="1B508AF5">
      <w:pPr>
        <w:pStyle w:val="3"/>
        <w:shd w:val="clear" w:color="auto" w:fill="D9E2F3"/>
        <w:spacing w:line="240" w:lineRule="auto"/>
        <w:rPr>
          <w:rStyle w:val="46"/>
          <w:iCs w:val="0"/>
          <w:caps w:val="0"/>
          <w:smallCaps w:val="0"/>
          <w:color w:val="2F5597" w:themeColor="accent1" w:themeShade="BF"/>
          <w:sz w:val="28"/>
        </w:rPr>
      </w:pPr>
      <w:bookmarkStart w:id="30" w:name="_Toc211869160"/>
      <w:r>
        <w:rPr>
          <w:rStyle w:val="46"/>
          <w:iCs w:val="0"/>
          <w:caps w:val="0"/>
          <w:smallCaps w:val="0"/>
          <w:color w:val="2F5597" w:themeColor="accent1" w:themeShade="BF"/>
          <w:sz w:val="28"/>
        </w:rPr>
        <w:t>Rischi</w:t>
      </w:r>
      <w:bookmarkEnd w:id="30"/>
    </w:p>
    <w:p w14:paraId="00B88E04"/>
    <w:p w14:paraId="7264D830">
      <w:pPr>
        <w:pStyle w:val="4"/>
      </w:pPr>
      <w:bookmarkStart w:id="31" w:name="_Toc211869161"/>
      <w:r>
        <w:t>Misure esistenti o pianificate</w:t>
      </w:r>
      <w:bookmarkEnd w:id="31"/>
    </w:p>
    <w:p w14:paraId="27E7A592"/>
    <w:p w14:paraId="3C5756C9">
      <w:pPr>
        <w:spacing w:line="276" w:lineRule="auto"/>
      </w:pPr>
      <w:r>
        <w:t>Crittografia</w:t>
      </w: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53583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2E1898D2">
            <w:pPr>
              <w:pStyle w:val="341"/>
              <w:numPr>
                <w:ilvl w:val="0"/>
                <w:numId w:val="11"/>
              </w:numPr>
              <w:spacing w:line="276" w:lineRule="auto"/>
              <w:ind w:left="360" w:right="-1" w:hanging="357"/>
            </w:pPr>
            <w:r>
              <w:t>In conformità rispetto a quanto richiesto al paragrafo 3.3.1 comma f) dal “Provvedimento in Materia di Videosorveglianza” dell’8 aprile 2010 del Garante per la protezione dei dati personali, i flussi video dei dati raccolti attraverso telecamere di contesto e lettura targhe, in presenza di connessione Wi-Fi, sono crittografati mediante chiave WPA2-AES;</w:t>
            </w:r>
          </w:p>
          <w:p w14:paraId="62CA7929">
            <w:pPr>
              <w:pStyle w:val="341"/>
              <w:numPr>
                <w:ilvl w:val="0"/>
                <w:numId w:val="11"/>
              </w:numPr>
              <w:spacing w:line="276" w:lineRule="auto"/>
              <w:ind w:left="360" w:right="-1" w:hanging="357"/>
            </w:pPr>
            <w:r>
              <w:t xml:space="preserve">La scheda SD interna alle dashcam non è cifrata, ma prima del loro utilizzo il responsabile del servizio di Polizia Locale adotterà un disciplinare d'uso volto a garantire lo svuotamento della scheda sd ad ogni rientro dal servizio - in caso di utilizzo del dispositivo -, al fine di ridurre il rischio di violazione di dati derivante da possibili furti delle dashcam, che in ogni caso sono custodite all'interno dei veicoli di servizio. </w:t>
            </w:r>
          </w:p>
        </w:tc>
      </w:tr>
    </w:tbl>
    <w:p w14:paraId="16BD4CCA">
      <w:pPr>
        <w:spacing w:line="276" w:lineRule="auto"/>
      </w:pP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5386A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538135" w:sz="12" w:space="0"/>
              <w:left w:val="single" w:color="538135" w:sz="12" w:space="0"/>
              <w:bottom w:val="single" w:color="538135" w:sz="12" w:space="0"/>
              <w:right w:val="single" w:color="538135" w:sz="12" w:space="0"/>
              <w:insideH w:val="single" w:sz="12" w:space="0"/>
              <w:insideV w:val="single" w:sz="12" w:space="0"/>
            </w:tcBorders>
            <w:shd w:val="clear" w:color="auto" w:fill="E2EFD9" w:themeFill="accent6" w:themeFillTint="33"/>
          </w:tcPr>
          <w:p w14:paraId="2F206D56">
            <w:pPr>
              <w:spacing w:line="276" w:lineRule="auto"/>
              <w:rPr>
                <w:b/>
                <w:bCs/>
              </w:rPr>
            </w:pPr>
            <w:r>
              <w:rPr>
                <w:b/>
                <w:bCs/>
              </w:rPr>
              <w:t xml:space="preserve">Valutazione: </w:t>
            </w:r>
            <w:r>
              <w:t>Accettabile</w:t>
            </w:r>
          </w:p>
          <w:p w14:paraId="775F8738">
            <w:pPr>
              <w:spacing w:before="0" w:after="3" w:line="276" w:lineRule="auto"/>
              <w:rPr>
                <w:highlight w:val="yellow"/>
              </w:rPr>
            </w:pPr>
            <w:r>
              <w:t>Commento di valutazione: La misura di sicurezza adottata è idonea a proteggere adeguatamente i dati personali trattati, ai sensi dell’art. 32 del Regolamento (UE) 2016/679.</w:t>
            </w:r>
          </w:p>
        </w:tc>
      </w:tr>
    </w:tbl>
    <w:p w14:paraId="5C1E0D73">
      <w:pPr>
        <w:spacing w:line="276" w:lineRule="auto"/>
      </w:pPr>
    </w:p>
    <w:p w14:paraId="6D6C8AEE">
      <w:pPr>
        <w:spacing w:line="276" w:lineRule="auto"/>
      </w:pPr>
      <w:r>
        <w:t>Controllo degli accessi logici</w:t>
      </w: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5C1C5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3F394C68">
            <w:pPr>
              <w:pStyle w:val="341"/>
              <w:numPr>
                <w:ilvl w:val="0"/>
                <w:numId w:val="11"/>
              </w:numPr>
              <w:spacing w:line="276" w:lineRule="auto"/>
              <w:ind w:left="360" w:right="-1" w:hanging="357"/>
            </w:pPr>
            <w:r>
              <w:t>La piattaforma di consultazione dei dati raccolti tramite telecamere di contesto è Wisenet Wave, mentre la piattaforma di consultazione dei dati raccolti tramite telecamere di lettura targhe è Lince. Entrambe le piattaforme sono in locale;</w:t>
            </w:r>
          </w:p>
          <w:p w14:paraId="4AF3C892">
            <w:pPr>
              <w:pStyle w:val="341"/>
              <w:numPr>
                <w:ilvl w:val="0"/>
                <w:numId w:val="11"/>
              </w:numPr>
              <w:spacing w:line="276" w:lineRule="auto"/>
              <w:ind w:left="360" w:right="-1" w:hanging="357"/>
            </w:pPr>
            <w:r>
              <w:t xml:space="preserve">I profili di accesso alle piattaforme di video-analisi sono nominali e ad ogni utente vengono assegnati credenziali d'accesso personali. Ogni utente è dotato di apposito profilo che va a caratterizzare le attività che possono o non possono essere effettuate.  Il collegamento del Comando di Polizia Locale avviene tramite Ponte radio o rete cablata a seconda dei dispositivi utilizzati.  Nel caso della dashcam, le immagini saranno scaricate direttamente sui pc client degli operatori autorizzati per la loro successiva consultazione. </w:t>
            </w:r>
          </w:p>
        </w:tc>
      </w:tr>
    </w:tbl>
    <w:p w14:paraId="4CEF6889">
      <w:pPr>
        <w:spacing w:line="276" w:lineRule="auto"/>
      </w:pP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3D16C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628" w:type="dxa"/>
            <w:tcBorders>
              <w:top w:val="single" w:color="538135" w:sz="12" w:space="0"/>
              <w:left w:val="single" w:color="538135" w:sz="12" w:space="0"/>
              <w:bottom w:val="single" w:color="538135" w:sz="12" w:space="0"/>
              <w:right w:val="single" w:color="538135" w:sz="12" w:space="0"/>
              <w:insideH w:val="single" w:sz="12" w:space="0"/>
              <w:insideV w:val="single" w:sz="12" w:space="0"/>
            </w:tcBorders>
            <w:shd w:val="clear" w:color="auto" w:fill="E2EFD9" w:themeFill="accent6" w:themeFillTint="33"/>
          </w:tcPr>
          <w:p w14:paraId="215ABF83">
            <w:pPr>
              <w:spacing w:line="276" w:lineRule="auto"/>
              <w:rPr>
                <w:b/>
                <w:bCs/>
              </w:rPr>
            </w:pPr>
            <w:r>
              <w:rPr>
                <w:b/>
                <w:bCs/>
              </w:rPr>
              <w:t xml:space="preserve">Valutazione: </w:t>
            </w:r>
            <w:r>
              <w:t>Accettabile</w:t>
            </w:r>
          </w:p>
          <w:p w14:paraId="250D2214">
            <w:pPr>
              <w:spacing w:before="0" w:after="3" w:line="276" w:lineRule="auto"/>
              <w:rPr>
                <w:highlight w:val="yellow"/>
              </w:rPr>
            </w:pPr>
            <w:r>
              <w:t>Commento di valutazione: La misura di sicurezza adottata è idonea a proteggere adeguatamente i dati personali trattati, ai sensi dell’art. 32 del Regolamento (UE) 2016/679 e in conformità al principio di privacy by design di cui all’art. 25 par. 1 del Regolamento (UE) 2016/679.</w:t>
            </w:r>
          </w:p>
        </w:tc>
      </w:tr>
    </w:tbl>
    <w:p w14:paraId="04DA4A0E">
      <w:pPr>
        <w:spacing w:line="276" w:lineRule="auto"/>
      </w:pPr>
    </w:p>
    <w:p w14:paraId="4F019471">
      <w:pPr>
        <w:spacing w:line="276" w:lineRule="auto"/>
      </w:pPr>
      <w:r>
        <w:t>Tracciabilità</w:t>
      </w: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099CC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514B8AEC">
            <w:pPr>
              <w:pStyle w:val="341"/>
              <w:numPr>
                <w:ilvl w:val="0"/>
                <w:numId w:val="11"/>
              </w:numPr>
              <w:spacing w:line="276" w:lineRule="auto"/>
              <w:ind w:left="360" w:right="-1" w:hanging="357"/>
            </w:pPr>
            <w:r>
              <w:t>Il sistema è dotato di sistema di registrazione degli accessi (Log). I log di accesso vengono conservati per 180 giorni e registrano le attività effettuate all’interno delle piattaforme di video-analisi dagli operatori autorizzati.</w:t>
            </w:r>
          </w:p>
        </w:tc>
      </w:tr>
    </w:tbl>
    <w:p w14:paraId="12F19E07">
      <w:pPr>
        <w:spacing w:line="276" w:lineRule="auto"/>
      </w:pP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0606A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538135" w:sz="12" w:space="0"/>
              <w:left w:val="single" w:color="538135" w:sz="12" w:space="0"/>
              <w:bottom w:val="single" w:color="538135" w:sz="12" w:space="0"/>
              <w:right w:val="single" w:color="538135" w:sz="12" w:space="0"/>
              <w:insideH w:val="single" w:sz="12" w:space="0"/>
              <w:insideV w:val="single" w:sz="12" w:space="0"/>
            </w:tcBorders>
            <w:shd w:val="clear" w:color="auto" w:fill="E2EFD9" w:themeFill="accent6" w:themeFillTint="33"/>
          </w:tcPr>
          <w:p w14:paraId="7225C38F">
            <w:pPr>
              <w:spacing w:line="276" w:lineRule="auto"/>
              <w:rPr>
                <w:b/>
                <w:bCs/>
              </w:rPr>
            </w:pPr>
            <w:r>
              <w:rPr>
                <w:b/>
                <w:bCs/>
              </w:rPr>
              <w:t xml:space="preserve">Valutazione: </w:t>
            </w:r>
            <w:r>
              <w:t>Accettabile</w:t>
            </w:r>
          </w:p>
          <w:p w14:paraId="7F19A606">
            <w:pPr>
              <w:spacing w:before="0" w:after="3" w:line="276" w:lineRule="auto"/>
              <w:rPr>
                <w:highlight w:val="yellow"/>
              </w:rPr>
            </w:pPr>
            <w:r>
              <w:t>Commento di valutazione: La misura di sicurezza adottata è idonea ad assicurare il monitoraggio dei soggetti che accedono al sistema di videosorveglianza, in modo da consentire di conoscere se soggetti non autorizzati hanno effettuato l’accesso al sistema. In tal senso, la misura adottata contribuisce a proteggere i dati personali trattati, ai sensi dell’art. 32 del Regolamento (UE) 2016/679.</w:t>
            </w:r>
          </w:p>
        </w:tc>
      </w:tr>
    </w:tbl>
    <w:p w14:paraId="2CD03532">
      <w:pPr>
        <w:spacing w:line="276" w:lineRule="auto"/>
      </w:pPr>
    </w:p>
    <w:p w14:paraId="6D5B098D">
      <w:pPr>
        <w:spacing w:line="276" w:lineRule="auto"/>
      </w:pPr>
      <w:r>
        <w:t>Archiviazione</w:t>
      </w: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3878A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0472DBF9">
            <w:pPr>
              <w:pStyle w:val="341"/>
              <w:numPr>
                <w:ilvl w:val="0"/>
                <w:numId w:val="11"/>
              </w:numPr>
              <w:spacing w:line="276" w:lineRule="auto"/>
              <w:ind w:left="360" w:right="-1" w:hanging="357"/>
            </w:pPr>
            <w:r>
              <w:t>I dati sono memorizzati sull’Hard disk dei server custoditi in sala server blindata presso gli uffici di Polizia Locale.</w:t>
            </w:r>
          </w:p>
        </w:tc>
      </w:tr>
    </w:tbl>
    <w:p w14:paraId="5C22FE69">
      <w:pPr>
        <w:spacing w:line="276" w:lineRule="auto"/>
      </w:pP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1326B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538135" w:sz="12" w:space="0"/>
              <w:left w:val="single" w:color="538135" w:sz="12" w:space="0"/>
              <w:bottom w:val="single" w:color="538135" w:sz="12" w:space="0"/>
              <w:right w:val="single" w:color="538135" w:sz="12" w:space="0"/>
              <w:insideH w:val="single" w:sz="12" w:space="0"/>
              <w:insideV w:val="single" w:sz="12" w:space="0"/>
            </w:tcBorders>
            <w:shd w:val="clear" w:color="auto" w:fill="E2EFD9" w:themeFill="accent6" w:themeFillTint="33"/>
          </w:tcPr>
          <w:p w14:paraId="57622759">
            <w:pPr>
              <w:spacing w:line="276" w:lineRule="auto"/>
              <w:rPr>
                <w:b/>
                <w:bCs/>
              </w:rPr>
            </w:pPr>
            <w:r>
              <w:rPr>
                <w:b/>
                <w:bCs/>
              </w:rPr>
              <w:t xml:space="preserve">Valutazione: </w:t>
            </w:r>
            <w:r>
              <w:t>Accettabile</w:t>
            </w:r>
          </w:p>
          <w:p w14:paraId="29396070">
            <w:pPr>
              <w:spacing w:before="0" w:after="3" w:line="276" w:lineRule="auto"/>
              <w:rPr>
                <w:highlight w:val="yellow"/>
              </w:rPr>
            </w:pPr>
            <w:r>
              <w:t>Commento di valutazione: La misura di sicurezza adottata è idonea a proteggere adeguatamente i dati personali trattati, ai sensi dell’art. 32 del Regolamento (UE) 2016/679.</w:t>
            </w:r>
            <w:bookmarkStart w:id="32" w:name="_Hlk167380930"/>
            <w:bookmarkEnd w:id="32"/>
          </w:p>
        </w:tc>
      </w:tr>
    </w:tbl>
    <w:p w14:paraId="60B49A33"/>
    <w:p w14:paraId="07A38836">
      <w:r>
        <w:t>Vulnerabilità</w:t>
      </w:r>
    </w:p>
    <w:tbl>
      <w:tblPr>
        <w:tblStyle w:val="20"/>
        <w:tblW w:w="96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08"/>
      </w:tblGrid>
      <w:tr w14:paraId="3B044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0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6AF21DB3">
            <w:pPr>
              <w:pStyle w:val="341"/>
              <w:numPr>
                <w:ilvl w:val="0"/>
                <w:numId w:val="11"/>
              </w:numPr>
              <w:spacing w:line="276" w:lineRule="auto"/>
              <w:ind w:left="360" w:right="-1" w:hanging="357"/>
            </w:pPr>
            <w:r>
              <w:t>Il firmware delle telecamere viene aggiornato all'occorrenza;</w:t>
            </w:r>
          </w:p>
          <w:p w14:paraId="393CB26A">
            <w:pPr>
              <w:pStyle w:val="341"/>
              <w:numPr>
                <w:ilvl w:val="0"/>
                <w:numId w:val="11"/>
              </w:numPr>
              <w:spacing w:line="276" w:lineRule="auto"/>
              <w:ind w:left="360" w:right="-1" w:hanging="357"/>
            </w:pPr>
            <w:r>
              <w:t>I software di video-analisi vengono aggiornati all'occorrenza;</w:t>
            </w:r>
          </w:p>
          <w:p w14:paraId="5D4E67D1">
            <w:pPr>
              <w:pStyle w:val="341"/>
              <w:numPr>
                <w:ilvl w:val="0"/>
                <w:numId w:val="11"/>
              </w:numPr>
              <w:spacing w:line="276" w:lineRule="auto"/>
              <w:ind w:left="360" w:right="-1" w:hanging="357"/>
            </w:pPr>
            <w:r>
              <w:t>L'accesso alla sala deputata ad ospitare gli apparati è riservato al personale autorizzato;</w:t>
            </w:r>
          </w:p>
          <w:p w14:paraId="369BC1F5">
            <w:pPr>
              <w:pStyle w:val="341"/>
              <w:numPr>
                <w:ilvl w:val="0"/>
                <w:numId w:val="11"/>
              </w:numPr>
              <w:spacing w:line="276" w:lineRule="auto"/>
              <w:ind w:left="360" w:right="-1" w:hanging="357"/>
            </w:pPr>
            <w:r>
              <w:t>La consultazione degli stream avviene tramite apposito Client dedicato il cui sistema operativo viene costantemente aggiornato;</w:t>
            </w:r>
          </w:p>
          <w:p w14:paraId="095D2DBF">
            <w:pPr>
              <w:pStyle w:val="341"/>
              <w:numPr>
                <w:ilvl w:val="0"/>
                <w:numId w:val="11"/>
              </w:numPr>
              <w:spacing w:line="276" w:lineRule="auto"/>
              <w:ind w:left="360" w:right="-1" w:hanging="357"/>
            </w:pPr>
            <w:r>
              <w:t>Gli accessi al software deputati alla visione degli stream video sono regolati da user e password e relativi profili;</w:t>
            </w:r>
          </w:p>
          <w:p w14:paraId="7C360251">
            <w:pPr>
              <w:pStyle w:val="341"/>
              <w:numPr>
                <w:ilvl w:val="0"/>
                <w:numId w:val="11"/>
              </w:numPr>
              <w:spacing w:line="276" w:lineRule="auto"/>
              <w:ind w:left="360" w:right="-1" w:hanging="357"/>
            </w:pPr>
            <w:r>
              <w:t xml:space="preserve">Il Sistema viene regolarmente sottoposto a Vulnerability Assessment (VA). I due VA effettuati sull'IP pubblico rispettivamente in data 11.2.2025 e 29.8.2025 non hanno rilevato criticità in termini di sicurezza. I due VA effettuati sono consultabili nell'ALLEGATO B alla presente DPIA. </w:t>
            </w:r>
          </w:p>
        </w:tc>
      </w:tr>
    </w:tbl>
    <w:p w14:paraId="16FE271C">
      <w:pPr>
        <w:spacing w:line="276" w:lineRule="auto"/>
      </w:pP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467BB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628" w:type="dxa"/>
            <w:tcBorders>
              <w:top w:val="single" w:color="538135" w:sz="12" w:space="0"/>
              <w:left w:val="single" w:color="538135" w:sz="12" w:space="0"/>
              <w:bottom w:val="single" w:color="538135" w:sz="12" w:space="0"/>
              <w:right w:val="single" w:color="538135" w:sz="12" w:space="0"/>
              <w:insideH w:val="single" w:sz="12" w:space="0"/>
              <w:insideV w:val="single" w:sz="12" w:space="0"/>
            </w:tcBorders>
            <w:shd w:val="clear" w:color="auto" w:fill="E2EFD9" w:themeFill="accent6" w:themeFillTint="33"/>
          </w:tcPr>
          <w:p w14:paraId="2B136C6D">
            <w:pPr>
              <w:spacing w:line="276" w:lineRule="auto"/>
              <w:rPr>
                <w:b/>
                <w:bCs/>
              </w:rPr>
            </w:pPr>
            <w:r>
              <w:rPr>
                <w:b/>
                <w:bCs/>
              </w:rPr>
              <w:t xml:space="preserve">Valutazione: </w:t>
            </w:r>
            <w:r>
              <w:t>Accettabile</w:t>
            </w:r>
          </w:p>
          <w:p w14:paraId="5D28E3B4">
            <w:pPr>
              <w:spacing w:before="0" w:after="3" w:line="276" w:lineRule="auto"/>
              <w:rPr>
                <w:highlight w:val="yellow"/>
              </w:rPr>
            </w:pPr>
            <w:r>
              <w:t>Commento di valutazione: Le misura di sicurezza adottate sono idonee a proteggere adeguatamente i dati personali trattati, ai sensi dell’art. 32 del Regolamento (UE) 2016/679.</w:t>
            </w:r>
            <w:bookmarkStart w:id="33" w:name="_Hlk167381034"/>
            <w:bookmarkEnd w:id="33"/>
          </w:p>
        </w:tc>
      </w:tr>
    </w:tbl>
    <w:p w14:paraId="1149858E"/>
    <w:p w14:paraId="3151FCAC">
      <w:r>
        <w:t>Manutenzione</w:t>
      </w:r>
    </w:p>
    <w:tbl>
      <w:tblPr>
        <w:tblStyle w:val="20"/>
        <w:tblW w:w="96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08"/>
      </w:tblGrid>
      <w:tr w14:paraId="14AF5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0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327A7BA6">
            <w:pPr>
              <w:pStyle w:val="341"/>
              <w:numPr>
                <w:ilvl w:val="0"/>
                <w:numId w:val="11"/>
              </w:numPr>
              <w:spacing w:line="276" w:lineRule="auto"/>
              <w:ind w:left="360" w:right="-1" w:hanging="357"/>
            </w:pPr>
            <w:r>
              <w:t>La manutenzione del Sistema è regolata da apposito contratto sottoscritto dal Titolare e dal Responsabile del trattamento;</w:t>
            </w:r>
          </w:p>
          <w:p w14:paraId="7C527FB5">
            <w:pPr>
              <w:pStyle w:val="341"/>
              <w:numPr>
                <w:ilvl w:val="0"/>
                <w:numId w:val="11"/>
              </w:numPr>
              <w:spacing w:line="276" w:lineRule="auto"/>
              <w:ind w:left="360" w:right="-1" w:hanging="357"/>
            </w:pPr>
            <w:r>
              <w:t>Il soggetto manutentore può effettuare manutenzione solo previa autorizzazione e supervisione da parte di personale incaricato. Nel dettaglio, è stato installato apposito software che garantisce la teleassistenza presidiata;</w:t>
            </w:r>
          </w:p>
          <w:p w14:paraId="01E392FB">
            <w:pPr>
              <w:pStyle w:val="341"/>
              <w:numPr>
                <w:ilvl w:val="0"/>
                <w:numId w:val="11"/>
              </w:numPr>
              <w:spacing w:line="276" w:lineRule="auto"/>
              <w:ind w:left="360" w:right="-1" w:hanging="357"/>
            </w:pPr>
            <w:r>
              <w:t xml:space="preserve">Ad ogni intervento viene redatto apposito verbale indicante le attività svolte. </w:t>
            </w:r>
          </w:p>
        </w:tc>
      </w:tr>
    </w:tbl>
    <w:p w14:paraId="3E2FE4E1">
      <w:pPr>
        <w:spacing w:line="276" w:lineRule="auto"/>
      </w:pPr>
    </w:p>
    <w:tbl>
      <w:tblPr>
        <w:tblStyle w:val="20"/>
        <w:tblW w:w="96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08"/>
      </w:tblGrid>
      <w:tr w14:paraId="5D7E0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08" w:type="dxa"/>
            <w:tcBorders>
              <w:top w:val="single" w:color="538135" w:sz="12" w:space="0"/>
              <w:left w:val="single" w:color="538135" w:sz="12" w:space="0"/>
              <w:bottom w:val="single" w:color="538135" w:sz="12" w:space="0"/>
              <w:right w:val="single" w:color="538135" w:sz="12" w:space="0"/>
              <w:insideH w:val="single" w:sz="12" w:space="0"/>
              <w:insideV w:val="single" w:sz="12" w:space="0"/>
            </w:tcBorders>
            <w:shd w:val="clear" w:color="auto" w:fill="E2EFD9" w:themeFill="accent6" w:themeFillTint="33"/>
          </w:tcPr>
          <w:p w14:paraId="3A4CC314">
            <w:pPr>
              <w:spacing w:line="276" w:lineRule="auto"/>
              <w:rPr>
                <w:b/>
                <w:bCs/>
              </w:rPr>
            </w:pPr>
            <w:r>
              <w:rPr>
                <w:b/>
                <w:bCs/>
              </w:rPr>
              <w:t xml:space="preserve">Valutazione: </w:t>
            </w:r>
            <w:r>
              <w:t>Accettabile</w:t>
            </w:r>
          </w:p>
          <w:p w14:paraId="71646380">
            <w:pPr>
              <w:spacing w:before="0" w:after="3" w:line="276" w:lineRule="auto"/>
              <w:rPr>
                <w:highlight w:val="yellow"/>
              </w:rPr>
            </w:pPr>
            <w:r>
              <w:t>Commento di valutazione: Le misura di sicurezza adottate sono idonee a proteggere adeguatamente i dati personali trattati, ai sensi dell’art. 32 del Regolamento (UE) 2016/679.</w:t>
            </w:r>
            <w:bookmarkStart w:id="34" w:name="_Hlk167427046"/>
            <w:bookmarkEnd w:id="34"/>
          </w:p>
        </w:tc>
      </w:tr>
    </w:tbl>
    <w:p w14:paraId="4B21E735"/>
    <w:p w14:paraId="67159561">
      <w:r>
        <w:t>Controllo degli accessi fisici</w:t>
      </w: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22BA6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129AC115">
            <w:pPr>
              <w:pStyle w:val="341"/>
              <w:numPr>
                <w:ilvl w:val="0"/>
                <w:numId w:val="11"/>
              </w:numPr>
              <w:spacing w:line="276" w:lineRule="auto"/>
              <w:ind w:left="360" w:right="-1" w:hanging="357"/>
            </w:pPr>
            <w:r>
              <w:t>Il locale deputato ad ospitare gli apparati è accessibile al solo personale autorizzato ed è protetto da un sistema di allarme anti-intrusione;</w:t>
            </w:r>
          </w:p>
          <w:p w14:paraId="66CBEBD9">
            <w:pPr>
              <w:pStyle w:val="341"/>
              <w:numPr>
                <w:ilvl w:val="0"/>
                <w:numId w:val="11"/>
              </w:numPr>
              <w:spacing w:line="276" w:lineRule="auto"/>
              <w:ind w:left="360" w:right="-1" w:hanging="357"/>
            </w:pPr>
            <w:r>
              <w:t xml:space="preserve">Il sistema è dotato di controllo degli accessi da parte del personale di Polizia Locale in servizio che accede tramite timbratura del badge personale. </w:t>
            </w:r>
          </w:p>
        </w:tc>
      </w:tr>
    </w:tbl>
    <w:p w14:paraId="09BB686F">
      <w:pPr>
        <w:spacing w:line="276" w:lineRule="auto"/>
      </w:pP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653AD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538135" w:sz="12" w:space="0"/>
              <w:left w:val="single" w:color="538135" w:sz="12" w:space="0"/>
              <w:bottom w:val="single" w:color="538135" w:sz="12" w:space="0"/>
              <w:right w:val="single" w:color="538135" w:sz="12" w:space="0"/>
              <w:insideH w:val="single" w:sz="12" w:space="0"/>
              <w:insideV w:val="single" w:sz="12" w:space="0"/>
            </w:tcBorders>
            <w:shd w:val="clear" w:color="auto" w:fill="E2EFD9" w:themeFill="accent6" w:themeFillTint="33"/>
          </w:tcPr>
          <w:p w14:paraId="566DF884">
            <w:pPr>
              <w:spacing w:line="276" w:lineRule="auto"/>
              <w:rPr>
                <w:b/>
                <w:bCs/>
              </w:rPr>
            </w:pPr>
            <w:r>
              <w:rPr>
                <w:b/>
                <w:bCs/>
              </w:rPr>
              <w:t xml:space="preserve">Valutazione: </w:t>
            </w:r>
            <w:r>
              <w:t>Accettabile</w:t>
            </w:r>
          </w:p>
          <w:p w14:paraId="31F9EE59">
            <w:pPr>
              <w:spacing w:before="0" w:after="3" w:line="276" w:lineRule="auto"/>
              <w:rPr>
                <w:highlight w:val="yellow"/>
              </w:rPr>
            </w:pPr>
            <w:r>
              <w:t>Commento di valutazione: La misura di sicurezza adottata è idonea a proteggere adeguatamente i dati personali trattati, ai sensi dell’art. 32 del Regolamento (UE) 2016/679.</w:t>
            </w:r>
          </w:p>
        </w:tc>
      </w:tr>
    </w:tbl>
    <w:p w14:paraId="709687B7"/>
    <w:p w14:paraId="1804048D">
      <w:r>
        <w:t>Sicurezza dell'hardware</w:t>
      </w: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56E96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3C6AC4A8">
            <w:pPr>
              <w:pStyle w:val="341"/>
              <w:numPr>
                <w:ilvl w:val="0"/>
                <w:numId w:val="11"/>
              </w:numPr>
              <w:spacing w:line="276" w:lineRule="auto"/>
              <w:ind w:left="360" w:right="-1" w:hanging="357"/>
            </w:pPr>
            <w:r>
              <w:t>È presente l'inventario Hardware e Software, che viene regolarmente aggiornato.</w:t>
            </w:r>
          </w:p>
        </w:tc>
      </w:tr>
    </w:tbl>
    <w:p w14:paraId="7B88DB70">
      <w:pPr>
        <w:spacing w:line="276" w:lineRule="auto"/>
      </w:pP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1CDD6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538135" w:sz="12" w:space="0"/>
              <w:left w:val="single" w:color="538135" w:sz="12" w:space="0"/>
              <w:bottom w:val="single" w:color="538135" w:sz="12" w:space="0"/>
              <w:right w:val="single" w:color="538135" w:sz="12" w:space="0"/>
              <w:insideH w:val="single" w:sz="12" w:space="0"/>
              <w:insideV w:val="single" w:sz="12" w:space="0"/>
            </w:tcBorders>
            <w:shd w:val="clear" w:color="auto" w:fill="E2EFD9" w:themeFill="accent6" w:themeFillTint="33"/>
          </w:tcPr>
          <w:p w14:paraId="08BCA7E0">
            <w:pPr>
              <w:spacing w:line="276" w:lineRule="auto"/>
              <w:rPr>
                <w:b/>
                <w:bCs/>
              </w:rPr>
            </w:pPr>
            <w:r>
              <w:rPr>
                <w:b/>
                <w:bCs/>
              </w:rPr>
              <w:t xml:space="preserve">Valutazione: </w:t>
            </w:r>
            <w:r>
              <w:t>Accettabile</w:t>
            </w:r>
          </w:p>
          <w:p w14:paraId="7BBBFEB1">
            <w:pPr>
              <w:spacing w:before="0" w:after="3" w:line="276" w:lineRule="auto"/>
              <w:rPr>
                <w:highlight w:val="yellow"/>
              </w:rPr>
            </w:pPr>
            <w:r>
              <w:t>Commento di valutazione: Le misura di sicurezza adottate sono idonee a proteggere adeguatamente i dati personali trattati, ai sensi dell’art. 32 del Regolamento (UE) 2016/679.</w:t>
            </w:r>
          </w:p>
        </w:tc>
      </w:tr>
    </w:tbl>
    <w:p w14:paraId="616FAFC2"/>
    <w:p w14:paraId="7B4FCB5F">
      <w:r>
        <w:t>Politica di tutela della privacy</w:t>
      </w: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692F7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31F115BC">
            <w:pPr>
              <w:pStyle w:val="341"/>
              <w:numPr>
                <w:ilvl w:val="0"/>
                <w:numId w:val="11"/>
              </w:numPr>
              <w:spacing w:line="276" w:lineRule="auto"/>
              <w:ind w:left="360" w:right="-1" w:hanging="357"/>
            </w:pPr>
            <w:r>
              <w:t>L’organizzazione dell’Ente prevede la nomina del Responsabile per la protezione dei dati personali;</w:t>
            </w:r>
          </w:p>
          <w:p w14:paraId="2DAE26BA">
            <w:pPr>
              <w:pStyle w:val="341"/>
              <w:numPr>
                <w:ilvl w:val="0"/>
                <w:numId w:val="11"/>
              </w:numPr>
              <w:spacing w:line="276" w:lineRule="auto"/>
              <w:ind w:left="360" w:right="-1" w:hanging="357"/>
            </w:pPr>
            <w:r>
              <w:t>È stato redatto un regolamento per la videosorveglianza;</w:t>
            </w:r>
          </w:p>
          <w:p w14:paraId="3F581B03">
            <w:pPr>
              <w:pStyle w:val="341"/>
              <w:numPr>
                <w:ilvl w:val="0"/>
                <w:numId w:val="11"/>
              </w:numPr>
              <w:spacing w:line="276" w:lineRule="auto"/>
              <w:ind w:left="360" w:right="-1" w:hanging="357"/>
            </w:pPr>
            <w:r>
              <w:t>Sono state predisposte le informative di primo e secondo livello sul trattamento dei dati personali da fornire in materia di videosorveglianza;</w:t>
            </w:r>
          </w:p>
          <w:p w14:paraId="37C368FE">
            <w:pPr>
              <w:pStyle w:val="341"/>
              <w:numPr>
                <w:ilvl w:val="0"/>
                <w:numId w:val="11"/>
              </w:numPr>
              <w:spacing w:line="276" w:lineRule="auto"/>
              <w:ind w:left="360" w:right="-1" w:hanging="357"/>
            </w:pPr>
            <w:r>
              <w:t>Un disciplinare tecnico per l’utilizzo di dispositivi mobili è in fase di adozione;</w:t>
            </w:r>
          </w:p>
          <w:p w14:paraId="2EE7C85C">
            <w:pPr>
              <w:pStyle w:val="341"/>
              <w:numPr>
                <w:ilvl w:val="0"/>
                <w:numId w:val="11"/>
              </w:numPr>
              <w:spacing w:line="276" w:lineRule="auto"/>
              <w:ind w:left="360" w:right="-1" w:hanging="357"/>
            </w:pPr>
            <w:r>
              <w:t>Il Responsabile del servizio di Polizia Locale o un suo delegato concede, valutando caso per caso e in conformità alle disposizioni di legge e di regolamento, dati personali trattati nell’ambito del sistema di videosorveglianza sulla base di richieste formulate per iscritto da terzi (es. Comando dei carabinieri). A tal fine, il Responsabile del servizio di Polizia Locale o un suo delegato redige apposito verbale di consegna dei dati relativi a filmati o immagini ottenute dal sistema di videosorveglianza.</w:t>
            </w:r>
          </w:p>
          <w:p w14:paraId="2C466D3D">
            <w:pPr>
              <w:pStyle w:val="341"/>
              <w:numPr>
                <w:ilvl w:val="0"/>
                <w:numId w:val="11"/>
              </w:numPr>
              <w:spacing w:line="276" w:lineRule="auto"/>
              <w:ind w:left="360" w:right="-1" w:hanging="357"/>
            </w:pPr>
            <w:r>
              <w:t xml:space="preserve">Il personale interno dell'ufficio di Polizia Locale è stato debitamente istruito mediante atto di designazione scritto.  I documenti rilevanti in materia di compliance alla normativa in materia di protezione dei dati personali di cui alla presente sezione – compreso l’atto di nomina a responsabile del trattamento nei confronti di Enet Solutions s.r.l. - sono consultabili nell'ALLEGATO C alla presente DPIA. </w:t>
            </w:r>
          </w:p>
        </w:tc>
      </w:tr>
    </w:tbl>
    <w:p w14:paraId="5265FB24">
      <w:pPr>
        <w:spacing w:line="276" w:lineRule="auto"/>
      </w:pP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7A4B8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538135" w:sz="12" w:space="0"/>
              <w:left w:val="single" w:color="538135" w:sz="12" w:space="0"/>
              <w:bottom w:val="single" w:color="538135" w:sz="12" w:space="0"/>
              <w:right w:val="single" w:color="538135" w:sz="12" w:space="0"/>
              <w:insideH w:val="single" w:sz="12" w:space="0"/>
              <w:insideV w:val="single" w:sz="12" w:space="0"/>
            </w:tcBorders>
            <w:shd w:val="clear" w:color="auto" w:fill="E2EFD9" w:themeFill="accent6" w:themeFillTint="33"/>
          </w:tcPr>
          <w:p w14:paraId="224F5A74">
            <w:pPr>
              <w:spacing w:line="276" w:lineRule="auto"/>
              <w:rPr>
                <w:b/>
                <w:bCs/>
              </w:rPr>
            </w:pPr>
            <w:r>
              <w:rPr>
                <w:b/>
                <w:bCs/>
              </w:rPr>
              <w:t xml:space="preserve">Valutazione: </w:t>
            </w:r>
            <w:r>
              <w:t>Accettabile</w:t>
            </w:r>
          </w:p>
          <w:p w14:paraId="2F3F0B7E">
            <w:pPr>
              <w:spacing w:before="0" w:after="3" w:line="276" w:lineRule="auto"/>
              <w:rPr>
                <w:highlight w:val="yellow"/>
              </w:rPr>
            </w:pPr>
            <w:r>
              <w:t>Commento di valutazione: Le misure adottate sono idonee a proteggere adeguatamente i dati personali trattati, ai sensi dell’art. 32 del Regolamento (UE) 2016/679, e sono idonee a garantire i diritti e le libertà degli interessati.</w:t>
            </w:r>
          </w:p>
        </w:tc>
      </w:tr>
    </w:tbl>
    <w:p w14:paraId="66628DCE"/>
    <w:p w14:paraId="1494BA2B">
      <w:r>
        <w:t>Gestione delle politiche di tutela della privacy</w:t>
      </w: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52F58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79BFCF7C">
            <w:pPr>
              <w:pStyle w:val="341"/>
              <w:numPr>
                <w:ilvl w:val="0"/>
                <w:numId w:val="11"/>
              </w:numPr>
              <w:spacing w:line="276" w:lineRule="auto"/>
              <w:ind w:left="360" w:right="-1" w:hanging="357"/>
            </w:pPr>
            <w:r>
              <w:t>Le policy per la tutela della privacy vengono costantemente monitorate e aggiornate con il supporto del Responsabile della protezione dei dati personali.</w:t>
            </w:r>
          </w:p>
          <w:p w14:paraId="54648697">
            <w:pPr>
              <w:pStyle w:val="341"/>
              <w:numPr>
                <w:ilvl w:val="0"/>
                <w:numId w:val="11"/>
              </w:numPr>
              <w:spacing w:line="276" w:lineRule="auto"/>
              <w:ind w:left="360" w:right="-1" w:hanging="357"/>
            </w:pPr>
            <w:r>
              <w:t xml:space="preserve">La presente Valutazione d'impatto (DPIA) viene revisionata a cadenza annuale e in ogni caso qualora intervengano modifiche della configurazione del sistema. </w:t>
            </w:r>
          </w:p>
        </w:tc>
      </w:tr>
    </w:tbl>
    <w:p w14:paraId="475AF269">
      <w:pPr>
        <w:spacing w:line="276" w:lineRule="auto"/>
      </w:pP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128F5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538135" w:sz="12" w:space="0"/>
              <w:left w:val="single" w:color="538135" w:sz="12" w:space="0"/>
              <w:bottom w:val="single" w:color="538135" w:sz="12" w:space="0"/>
              <w:right w:val="single" w:color="538135" w:sz="12" w:space="0"/>
              <w:insideH w:val="single" w:sz="12" w:space="0"/>
              <w:insideV w:val="single" w:sz="12" w:space="0"/>
            </w:tcBorders>
            <w:shd w:val="clear" w:color="auto" w:fill="E2EFD9" w:themeFill="accent6" w:themeFillTint="33"/>
          </w:tcPr>
          <w:p w14:paraId="4BA7243E">
            <w:pPr>
              <w:spacing w:line="276" w:lineRule="auto"/>
              <w:rPr>
                <w:b/>
                <w:bCs/>
              </w:rPr>
            </w:pPr>
            <w:r>
              <w:rPr>
                <w:b/>
                <w:bCs/>
              </w:rPr>
              <w:t xml:space="preserve">Valutazione: </w:t>
            </w:r>
            <w:r>
              <w:t>Accettabile</w:t>
            </w:r>
          </w:p>
          <w:p w14:paraId="44E3C28A">
            <w:pPr>
              <w:spacing w:before="0" w:after="3" w:line="276" w:lineRule="auto"/>
              <w:rPr>
                <w:highlight w:val="yellow"/>
              </w:rPr>
            </w:pPr>
            <w:r>
              <w:t>Commento di valutazione: Le misure adottate sono idonee a proteggere adeguatamente i dati personali trattati, ai sensi dell’art. 32 del Regolamento (UE) 2016/679, e sono idonee a garantire i diritti e le libertà degli interessati.</w:t>
            </w:r>
          </w:p>
        </w:tc>
      </w:tr>
    </w:tbl>
    <w:p w14:paraId="5CA7CA2F"/>
    <w:p w14:paraId="16B49D82">
      <w:r>
        <w:t>Gestione dei rischi</w:t>
      </w: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0BCC5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2E30EB09">
            <w:pPr>
              <w:pStyle w:val="341"/>
              <w:numPr>
                <w:ilvl w:val="0"/>
                <w:numId w:val="11"/>
              </w:numPr>
              <w:spacing w:line="276" w:lineRule="auto"/>
              <w:ind w:left="360" w:right="-1" w:hanging="357"/>
            </w:pPr>
            <w:r>
              <w:t>Sono stati debitamente mappati i trattamenti tramite apposito registro tenuto ai sensi dell’art. 30 del GDPR.</w:t>
            </w:r>
          </w:p>
          <w:p w14:paraId="433590C7">
            <w:pPr>
              <w:pStyle w:val="341"/>
              <w:numPr>
                <w:ilvl w:val="0"/>
                <w:numId w:val="11"/>
              </w:numPr>
              <w:spacing w:line="276" w:lineRule="auto"/>
              <w:ind w:left="360" w:right="-1" w:hanging="357"/>
            </w:pPr>
            <w:r>
              <w:t>La costituzione della presente DPIA include l'analisi del rischio per i diritti e le libertà degli interessati nel contesto della videosorveglianza.</w:t>
            </w:r>
          </w:p>
        </w:tc>
      </w:tr>
    </w:tbl>
    <w:p w14:paraId="7D338BED">
      <w:pPr>
        <w:spacing w:line="276" w:lineRule="auto"/>
      </w:pP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51143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538135" w:sz="12" w:space="0"/>
              <w:left w:val="single" w:color="538135" w:sz="12" w:space="0"/>
              <w:bottom w:val="single" w:color="538135" w:sz="12" w:space="0"/>
              <w:right w:val="single" w:color="538135" w:sz="12" w:space="0"/>
              <w:insideH w:val="single" w:sz="12" w:space="0"/>
              <w:insideV w:val="single" w:sz="12" w:space="0"/>
            </w:tcBorders>
            <w:shd w:val="clear" w:color="auto" w:fill="E2EFD9" w:themeFill="accent6" w:themeFillTint="33"/>
          </w:tcPr>
          <w:p w14:paraId="3692A606">
            <w:pPr>
              <w:spacing w:line="276" w:lineRule="auto"/>
              <w:rPr>
                <w:b/>
                <w:bCs/>
              </w:rPr>
            </w:pPr>
            <w:r>
              <w:rPr>
                <w:b/>
                <w:bCs/>
              </w:rPr>
              <w:t xml:space="preserve">Valutazione: </w:t>
            </w:r>
            <w:r>
              <w:t>Accettabile</w:t>
            </w:r>
          </w:p>
          <w:p w14:paraId="0B1513B1">
            <w:pPr>
              <w:spacing w:before="0" w:after="3" w:line="276" w:lineRule="auto"/>
              <w:rPr>
                <w:highlight w:val="yellow"/>
              </w:rPr>
            </w:pPr>
            <w:r>
              <w:t>Commento di valutazione: Le misure adottate sono idonee a proteggere adeguatamente i dati personali trattati, ai sensi dell’art. 32 del Regolamento (UE) 2016/679, e sono idonee a garantire i diritti e le libertà degli interessati.</w:t>
            </w:r>
          </w:p>
        </w:tc>
      </w:tr>
    </w:tbl>
    <w:p w14:paraId="657FFB27"/>
    <w:p w14:paraId="2830C382">
      <w:r>
        <w:t>Gestire gli incidenti di sicurezza e le violazioni dei dati personali</w:t>
      </w: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68B1A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137F0EA9">
            <w:pPr>
              <w:pStyle w:val="341"/>
              <w:numPr>
                <w:ilvl w:val="0"/>
                <w:numId w:val="11"/>
              </w:numPr>
              <w:spacing w:line="276" w:lineRule="auto"/>
              <w:ind w:left="360" w:right="-1" w:hanging="357"/>
            </w:pPr>
            <w:r>
              <w:t>L’Ente si è dotato di apposita policy per la gestione delle violazioni di dati personali (c.d. Data Breach);</w:t>
            </w:r>
          </w:p>
          <w:p w14:paraId="43FC29A1">
            <w:pPr>
              <w:pStyle w:val="341"/>
              <w:numPr>
                <w:ilvl w:val="0"/>
                <w:numId w:val="11"/>
              </w:numPr>
              <w:spacing w:line="276" w:lineRule="auto"/>
              <w:ind w:left="360" w:right="-1" w:hanging="357"/>
            </w:pPr>
            <w:r>
              <w:t xml:space="preserve">Il personale è stato debitamente formato per la gestione delle suddette violazioni. </w:t>
            </w:r>
          </w:p>
        </w:tc>
      </w:tr>
    </w:tbl>
    <w:p w14:paraId="6D98E9E1">
      <w:pPr>
        <w:spacing w:line="276" w:lineRule="auto"/>
      </w:pP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53F53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538135" w:sz="12" w:space="0"/>
              <w:left w:val="single" w:color="538135" w:sz="12" w:space="0"/>
              <w:bottom w:val="single" w:color="538135" w:sz="12" w:space="0"/>
              <w:right w:val="single" w:color="538135" w:sz="12" w:space="0"/>
              <w:insideH w:val="single" w:sz="12" w:space="0"/>
              <w:insideV w:val="single" w:sz="12" w:space="0"/>
            </w:tcBorders>
            <w:shd w:val="clear" w:color="auto" w:fill="E2EFD9" w:themeFill="accent6" w:themeFillTint="33"/>
          </w:tcPr>
          <w:p w14:paraId="6B95A22B">
            <w:pPr>
              <w:spacing w:line="276" w:lineRule="auto"/>
              <w:rPr>
                <w:b/>
                <w:bCs/>
              </w:rPr>
            </w:pPr>
            <w:r>
              <w:rPr>
                <w:b/>
                <w:bCs/>
              </w:rPr>
              <w:t xml:space="preserve">Valutazione: </w:t>
            </w:r>
            <w:r>
              <w:t>Accettabile</w:t>
            </w:r>
          </w:p>
          <w:p w14:paraId="329C0F96">
            <w:pPr>
              <w:spacing w:before="0" w:after="3" w:line="276" w:lineRule="auto"/>
              <w:rPr>
                <w:highlight w:val="yellow"/>
              </w:rPr>
            </w:pPr>
            <w:r>
              <w:t>Commento di valutazione: Le misure di sicurezza adottate sono idonee a proteggere adeguatamente i dati personali trattati, ai sensi dell’art. 32 del Regolamento (UE) 2016/679.</w:t>
            </w:r>
            <w:bookmarkStart w:id="35" w:name="_Hlk167428042"/>
            <w:bookmarkEnd w:id="35"/>
          </w:p>
        </w:tc>
      </w:tr>
    </w:tbl>
    <w:p w14:paraId="1E0FB22B"/>
    <w:p w14:paraId="588E04F2">
      <w:r>
        <w:t>Gestione del personale</w:t>
      </w: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756DF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239A7B92">
            <w:pPr>
              <w:pStyle w:val="341"/>
              <w:numPr>
                <w:ilvl w:val="0"/>
                <w:numId w:val="11"/>
              </w:numPr>
              <w:spacing w:line="276" w:lineRule="auto"/>
              <w:ind w:left="360" w:right="-1" w:hanging="357"/>
            </w:pPr>
            <w:r>
              <w:t>È stata effettuata adeguata formazione del personale in materia di protezione dei dati personali;</w:t>
            </w:r>
          </w:p>
          <w:p w14:paraId="084FB051">
            <w:pPr>
              <w:pStyle w:val="341"/>
              <w:numPr>
                <w:ilvl w:val="0"/>
                <w:numId w:val="11"/>
              </w:numPr>
              <w:spacing w:line="276" w:lineRule="auto"/>
              <w:ind w:left="360" w:right="-1" w:hanging="357"/>
            </w:pPr>
            <w:r>
              <w:t xml:space="preserve">Vengono effettuate sessioni formative specifiche in base all’evoluzione della normativa in materia. </w:t>
            </w:r>
          </w:p>
        </w:tc>
      </w:tr>
    </w:tbl>
    <w:p w14:paraId="728B2EDB">
      <w:pPr>
        <w:spacing w:line="276" w:lineRule="auto"/>
      </w:pP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7461F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538135" w:sz="12" w:space="0"/>
              <w:left w:val="single" w:color="538135" w:sz="12" w:space="0"/>
              <w:bottom w:val="single" w:color="538135" w:sz="12" w:space="0"/>
              <w:right w:val="single" w:color="538135" w:sz="12" w:space="0"/>
              <w:insideH w:val="single" w:sz="12" w:space="0"/>
              <w:insideV w:val="single" w:sz="12" w:space="0"/>
            </w:tcBorders>
            <w:shd w:val="clear" w:color="auto" w:fill="E2EFD9" w:themeFill="accent6" w:themeFillTint="33"/>
          </w:tcPr>
          <w:p w14:paraId="1824CB6A">
            <w:pPr>
              <w:spacing w:line="276" w:lineRule="auto"/>
              <w:rPr>
                <w:b/>
                <w:bCs/>
              </w:rPr>
            </w:pPr>
            <w:r>
              <w:rPr>
                <w:b/>
                <w:bCs/>
              </w:rPr>
              <w:t xml:space="preserve">Valutazione: </w:t>
            </w:r>
            <w:r>
              <w:t>Accettabile</w:t>
            </w:r>
          </w:p>
          <w:p w14:paraId="72FA6900">
            <w:pPr>
              <w:spacing w:before="0" w:after="3" w:line="276" w:lineRule="auto"/>
              <w:rPr>
                <w:highlight w:val="yellow"/>
              </w:rPr>
            </w:pPr>
            <w:r>
              <w:t>Commento di valutazione: Le misure di sicurezza adottate sono idonee a proteggere adeguatamente i dati personali trattati, ai sensi dell’art. 32 del Regolamento (UE) 2016/679.</w:t>
            </w:r>
          </w:p>
        </w:tc>
      </w:tr>
    </w:tbl>
    <w:p w14:paraId="4340C4F1"/>
    <w:p w14:paraId="32E43C26">
      <w:r>
        <w:t>Gestione dei terzi che accedono ai dati</w:t>
      </w: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07C73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7C793218">
            <w:pPr>
              <w:pStyle w:val="341"/>
              <w:numPr>
                <w:ilvl w:val="0"/>
                <w:numId w:val="11"/>
              </w:numPr>
              <w:spacing w:line="276" w:lineRule="auto"/>
              <w:ind w:left="360" w:right="-1" w:hanging="357"/>
            </w:pPr>
            <w:r>
              <w:t>L’accesso ai sistemi di videosorveglianza per finalità di manutenzione tecnica è regolato da atto di nomina a responsabile del trattamento e avviene mediante teleassistenza presidiata;</w:t>
            </w:r>
          </w:p>
          <w:p w14:paraId="74057F7B">
            <w:pPr>
              <w:pStyle w:val="341"/>
              <w:numPr>
                <w:ilvl w:val="0"/>
                <w:numId w:val="11"/>
              </w:numPr>
              <w:spacing w:line="276" w:lineRule="auto"/>
              <w:ind w:left="360" w:right="-1" w:hanging="357"/>
            </w:pPr>
            <w:r>
              <w:t xml:space="preserve">L’accesso da parte di soggetti terzi privati a dati raccolti mediante sistemi di videosorveglianza avviene in conformità alle norme di legge applicabili e a quanto disposto dal regolamento in materia di videosorveglianza. </w:t>
            </w:r>
          </w:p>
        </w:tc>
      </w:tr>
    </w:tbl>
    <w:p w14:paraId="1BF57D37">
      <w:pPr>
        <w:spacing w:line="276" w:lineRule="auto"/>
      </w:pP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42F38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538135" w:sz="12" w:space="0"/>
              <w:left w:val="single" w:color="538135" w:sz="12" w:space="0"/>
              <w:bottom w:val="single" w:color="538135" w:sz="12" w:space="0"/>
              <w:right w:val="single" w:color="538135" w:sz="12" w:space="0"/>
              <w:insideH w:val="single" w:sz="12" w:space="0"/>
              <w:insideV w:val="single" w:sz="12" w:space="0"/>
            </w:tcBorders>
            <w:shd w:val="clear" w:color="auto" w:fill="E2EFD9" w:themeFill="accent6" w:themeFillTint="33"/>
          </w:tcPr>
          <w:p w14:paraId="6F528379">
            <w:pPr>
              <w:spacing w:line="276" w:lineRule="auto"/>
              <w:rPr>
                <w:b/>
                <w:bCs/>
              </w:rPr>
            </w:pPr>
            <w:r>
              <w:rPr>
                <w:b/>
                <w:bCs/>
              </w:rPr>
              <w:t xml:space="preserve">Valutazione: </w:t>
            </w:r>
            <w:r>
              <w:t>Accettabile</w:t>
            </w:r>
          </w:p>
          <w:p w14:paraId="28AF7776">
            <w:pPr>
              <w:spacing w:before="0" w:after="3" w:line="276" w:lineRule="auto"/>
              <w:rPr>
                <w:highlight w:val="yellow"/>
              </w:rPr>
            </w:pPr>
            <w:r>
              <w:t>Commento di valutazione: Le misure di sicurezza adottate sono idonee a proteggere adeguatamente i dati personali trattati, ai sensi dell’art. 32 del Regolamento (UE) 2016/679.</w:t>
            </w:r>
          </w:p>
        </w:tc>
      </w:tr>
    </w:tbl>
    <w:p w14:paraId="2962C0D6"/>
    <w:p w14:paraId="4DC1F3C9">
      <w:r>
        <w:t>Vigilanza sulla protezione dei dati</w:t>
      </w: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0DEC5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62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0EF9574A">
            <w:pPr>
              <w:pStyle w:val="341"/>
              <w:numPr>
                <w:ilvl w:val="0"/>
                <w:numId w:val="11"/>
              </w:numPr>
              <w:spacing w:line="276" w:lineRule="auto"/>
              <w:ind w:left="360" w:right="-1" w:hanging="357"/>
            </w:pPr>
            <w:r>
              <w:t>Il sistema di Videosorveglianza è stato sottoposto a Vulnerability Assessment a cadenza annuale;</w:t>
            </w:r>
          </w:p>
          <w:p w14:paraId="41AA765D">
            <w:pPr>
              <w:pStyle w:val="341"/>
              <w:numPr>
                <w:ilvl w:val="0"/>
                <w:numId w:val="11"/>
              </w:numPr>
              <w:spacing w:line="276" w:lineRule="auto"/>
              <w:ind w:left="360" w:right="-1" w:hanging="357"/>
            </w:pPr>
            <w:r>
              <w:t xml:space="preserve">Annualmente, il Titolare del trattamento effettua una revisione delle politiche di gestione dei dati con il supporto del Responsabile della protezione dei dati personali. </w:t>
            </w:r>
          </w:p>
        </w:tc>
      </w:tr>
    </w:tbl>
    <w:p w14:paraId="11B6AEA8"/>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226C5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538135" w:sz="12" w:space="0"/>
              <w:left w:val="single" w:color="538135" w:sz="12" w:space="0"/>
              <w:bottom w:val="single" w:color="538135" w:sz="12" w:space="0"/>
              <w:right w:val="single" w:color="538135" w:sz="12" w:space="0"/>
              <w:insideH w:val="single" w:sz="12" w:space="0"/>
              <w:insideV w:val="single" w:sz="12" w:space="0"/>
            </w:tcBorders>
            <w:shd w:val="clear" w:color="auto" w:fill="E2EFD9" w:themeFill="accent6" w:themeFillTint="33"/>
          </w:tcPr>
          <w:p w14:paraId="0E122DEE">
            <w:pPr>
              <w:spacing w:line="276" w:lineRule="auto"/>
              <w:rPr>
                <w:b/>
                <w:bCs/>
              </w:rPr>
            </w:pPr>
            <w:r>
              <w:rPr>
                <w:b/>
                <w:bCs/>
              </w:rPr>
              <w:t xml:space="preserve">Valutazione: </w:t>
            </w:r>
            <w:r>
              <w:t>Accettabile</w:t>
            </w:r>
          </w:p>
          <w:p w14:paraId="49D8CC89">
            <w:pPr>
              <w:spacing w:before="0" w:after="3" w:line="276" w:lineRule="auto"/>
              <w:rPr>
                <w:highlight w:val="yellow"/>
              </w:rPr>
            </w:pPr>
            <w:r>
              <w:t>Commento di valutazione: Le misure di sicurezza adottate sono idonee a proteggere adeguatamente i dati personali trattati, ai sensi dell’art. 32 del Regolamento (UE) 2016/679.</w:t>
            </w:r>
          </w:p>
        </w:tc>
      </w:tr>
    </w:tbl>
    <w:p w14:paraId="2DBA99F8">
      <w:pPr>
        <w:spacing w:before="0" w:after="160" w:line="259" w:lineRule="auto"/>
        <w:ind w:right="0" w:firstLine="0"/>
        <w:jc w:val="left"/>
      </w:pPr>
      <w:r>
        <w:br w:type="page"/>
      </w:r>
    </w:p>
    <w:p w14:paraId="29DADBFF">
      <w:pPr>
        <w:pStyle w:val="3"/>
        <w:shd w:val="clear" w:color="auto" w:fill="D9E2F3"/>
        <w:spacing w:line="240" w:lineRule="auto"/>
        <w:rPr>
          <w:rStyle w:val="46"/>
          <w:iCs w:val="0"/>
          <w:caps w:val="0"/>
          <w:smallCaps w:val="0"/>
          <w:color w:val="2F5597" w:themeColor="accent1" w:themeShade="BF"/>
          <w:sz w:val="28"/>
        </w:rPr>
      </w:pPr>
      <w:bookmarkStart w:id="36" w:name="_Toc211869162"/>
      <w:r>
        <w:rPr>
          <w:rStyle w:val="46"/>
          <w:iCs w:val="0"/>
          <w:caps w:val="0"/>
          <w:smallCaps w:val="0"/>
          <w:color w:val="2F5597" w:themeColor="accent1" w:themeShade="BF"/>
          <w:sz w:val="28"/>
        </w:rPr>
        <w:t>Rischi</w:t>
      </w:r>
      <w:bookmarkEnd w:id="36"/>
    </w:p>
    <w:p w14:paraId="28C8C324"/>
    <w:p w14:paraId="182F4C7F">
      <w:pPr>
        <w:pStyle w:val="4"/>
      </w:pPr>
      <w:bookmarkStart w:id="37" w:name="_Toc211869163"/>
      <w:r>
        <w:t>Accesso illegittimo ai dati</w:t>
      </w:r>
      <w:bookmarkEnd w:id="37"/>
    </w:p>
    <w:p w14:paraId="1AF2A16F">
      <w:pPr>
        <w:spacing w:line="276" w:lineRule="auto"/>
      </w:pPr>
    </w:p>
    <w:p w14:paraId="5C665AE2">
      <w:pPr>
        <w:spacing w:line="276" w:lineRule="auto"/>
      </w:pPr>
      <w:r>
        <w:t>Quali potrebbero essere i principali impatti sugli interessati se il rischio si dovesse concretizzare?</w:t>
      </w:r>
    </w:p>
    <w:p w14:paraId="2F7C4395">
      <w:pPr>
        <w:spacing w:line="276" w:lineRule="auto"/>
      </w:pPr>
      <w:r>
        <w:t>Compromissione della riservatezza degli interessati.</w:t>
      </w:r>
    </w:p>
    <w:p w14:paraId="12C29724">
      <w:pPr>
        <w:spacing w:line="276" w:lineRule="auto"/>
      </w:pPr>
    </w:p>
    <w:p w14:paraId="1317CE82">
      <w:pPr>
        <w:spacing w:line="276" w:lineRule="auto"/>
      </w:pPr>
      <w:r>
        <w:t>Quali sono le principali minacce che potrebbero concretizzare il rischio?</w:t>
      </w:r>
    </w:p>
    <w:p w14:paraId="6BF23D19">
      <w:pPr>
        <w:pStyle w:val="341"/>
        <w:numPr>
          <w:ilvl w:val="0"/>
          <w:numId w:val="15"/>
        </w:numPr>
        <w:spacing w:line="276" w:lineRule="auto"/>
        <w:ind w:left="720" w:right="-1" w:hanging="360"/>
      </w:pPr>
      <w:r>
        <w:t>Accesso abusivo al sistema dell’Ente;</w:t>
      </w:r>
    </w:p>
    <w:p w14:paraId="25936DD2">
      <w:pPr>
        <w:pStyle w:val="341"/>
        <w:numPr>
          <w:ilvl w:val="0"/>
          <w:numId w:val="15"/>
        </w:numPr>
        <w:spacing w:line="276" w:lineRule="auto"/>
        <w:ind w:left="720" w:right="-1" w:hanging="360"/>
      </w:pPr>
      <w:r>
        <w:t xml:space="preserve">Furto o smarrimento dei supporti di memorizzazione; </w:t>
      </w:r>
    </w:p>
    <w:p w14:paraId="57E34691">
      <w:pPr>
        <w:pStyle w:val="341"/>
        <w:numPr>
          <w:ilvl w:val="0"/>
          <w:numId w:val="15"/>
        </w:numPr>
        <w:spacing w:line="276" w:lineRule="auto"/>
        <w:ind w:left="720" w:right="-1" w:hanging="360"/>
      </w:pPr>
      <w:r>
        <w:t>Accesso non autorizzato da parte del Responsabile del trattamento;</w:t>
      </w:r>
    </w:p>
    <w:p w14:paraId="4E05E5F9">
      <w:pPr>
        <w:pStyle w:val="341"/>
        <w:numPr>
          <w:ilvl w:val="0"/>
          <w:numId w:val="15"/>
        </w:numPr>
        <w:spacing w:line="276" w:lineRule="auto"/>
        <w:ind w:left="720" w:right="-1" w:hanging="360"/>
      </w:pPr>
      <w:r>
        <w:t>Malware;</w:t>
      </w:r>
    </w:p>
    <w:p w14:paraId="6EC763C4">
      <w:pPr>
        <w:pStyle w:val="341"/>
        <w:numPr>
          <w:ilvl w:val="0"/>
          <w:numId w:val="15"/>
        </w:numPr>
        <w:spacing w:line="276" w:lineRule="auto"/>
        <w:ind w:left="720" w:right="-1" w:hanging="360"/>
      </w:pPr>
      <w:r>
        <w:t xml:space="preserve">Obsolescenza e/o mancato aggiornamento dei dispositivi; </w:t>
      </w:r>
    </w:p>
    <w:p w14:paraId="05C215B0">
      <w:pPr>
        <w:pStyle w:val="341"/>
        <w:numPr>
          <w:ilvl w:val="0"/>
          <w:numId w:val="15"/>
        </w:numPr>
        <w:spacing w:line="276" w:lineRule="auto"/>
        <w:ind w:left="720" w:right="-1" w:hanging="360"/>
      </w:pPr>
      <w:r>
        <w:t>Accesso di personale interno non autorizzato.</w:t>
      </w:r>
    </w:p>
    <w:p w14:paraId="48828457">
      <w:pPr>
        <w:spacing w:line="276" w:lineRule="auto"/>
      </w:pPr>
    </w:p>
    <w:p w14:paraId="75C9B34F">
      <w:pPr>
        <w:spacing w:line="276" w:lineRule="auto"/>
      </w:pPr>
      <w:r>
        <w:t>Quali sono le fonti di rischio?</w:t>
      </w:r>
    </w:p>
    <w:p w14:paraId="57DF0B77">
      <w:pPr>
        <w:pStyle w:val="341"/>
        <w:numPr>
          <w:ilvl w:val="0"/>
          <w:numId w:val="16"/>
        </w:numPr>
        <w:spacing w:line="276" w:lineRule="auto"/>
        <w:ind w:left="720" w:right="-1" w:hanging="360"/>
      </w:pPr>
      <w:r>
        <w:t>Fonti umane interne;</w:t>
      </w:r>
    </w:p>
    <w:p w14:paraId="2D63BB05">
      <w:pPr>
        <w:pStyle w:val="341"/>
        <w:numPr>
          <w:ilvl w:val="0"/>
          <w:numId w:val="16"/>
        </w:numPr>
        <w:spacing w:line="276" w:lineRule="auto"/>
        <w:ind w:left="720" w:right="-1" w:hanging="360"/>
      </w:pPr>
      <w:r>
        <w:t>Fonti umane esterne;</w:t>
      </w:r>
    </w:p>
    <w:p w14:paraId="3680438D">
      <w:pPr>
        <w:pStyle w:val="341"/>
        <w:numPr>
          <w:ilvl w:val="0"/>
          <w:numId w:val="16"/>
        </w:numPr>
        <w:spacing w:line="276" w:lineRule="auto"/>
        <w:ind w:left="720" w:right="-1" w:hanging="360"/>
      </w:pPr>
      <w:r>
        <w:t>Fonti non umane.</w:t>
      </w:r>
    </w:p>
    <w:p w14:paraId="64E82353">
      <w:pPr>
        <w:spacing w:line="276" w:lineRule="auto"/>
      </w:pPr>
    </w:p>
    <w:p w14:paraId="615C1980">
      <w:pPr>
        <w:spacing w:line="276" w:lineRule="auto"/>
      </w:pPr>
      <w:r>
        <w:t>Quali misure fra quelle individuate contribuiscono a mitigare il rischio?</w:t>
      </w:r>
    </w:p>
    <w:p w14:paraId="3161E7A0">
      <w:pPr>
        <w:pStyle w:val="341"/>
        <w:numPr>
          <w:ilvl w:val="0"/>
          <w:numId w:val="17"/>
        </w:numPr>
        <w:spacing w:line="276" w:lineRule="auto"/>
        <w:ind w:left="720" w:right="-1" w:hanging="360"/>
      </w:pPr>
      <w:r>
        <w:t>Crittografia;</w:t>
      </w:r>
    </w:p>
    <w:p w14:paraId="3E7893FC">
      <w:pPr>
        <w:pStyle w:val="341"/>
        <w:numPr>
          <w:ilvl w:val="0"/>
          <w:numId w:val="17"/>
        </w:numPr>
        <w:spacing w:line="276" w:lineRule="auto"/>
        <w:ind w:left="720" w:right="-1" w:hanging="360"/>
      </w:pPr>
      <w:r>
        <w:t>Sicurezza dei canali informatici;</w:t>
      </w:r>
    </w:p>
    <w:p w14:paraId="28CAD859">
      <w:pPr>
        <w:pStyle w:val="341"/>
        <w:numPr>
          <w:ilvl w:val="0"/>
          <w:numId w:val="17"/>
        </w:numPr>
        <w:spacing w:line="276" w:lineRule="auto"/>
        <w:ind w:left="720" w:right="-1" w:hanging="360"/>
      </w:pPr>
      <w:r>
        <w:t>Manutenzione;</w:t>
      </w:r>
    </w:p>
    <w:p w14:paraId="32B1D607">
      <w:pPr>
        <w:pStyle w:val="341"/>
        <w:numPr>
          <w:ilvl w:val="0"/>
          <w:numId w:val="17"/>
        </w:numPr>
        <w:spacing w:line="276" w:lineRule="auto"/>
        <w:ind w:left="720" w:right="-1" w:hanging="360"/>
      </w:pPr>
      <w:r>
        <w:t>Controllo degli accessi fisici;</w:t>
      </w:r>
    </w:p>
    <w:p w14:paraId="144C51B7">
      <w:pPr>
        <w:pStyle w:val="341"/>
        <w:numPr>
          <w:ilvl w:val="0"/>
          <w:numId w:val="17"/>
        </w:numPr>
        <w:spacing w:line="276" w:lineRule="auto"/>
        <w:ind w:left="720" w:right="-1" w:hanging="360"/>
      </w:pPr>
      <w:r>
        <w:t>Controllo degli accessi logici;</w:t>
      </w:r>
    </w:p>
    <w:p w14:paraId="5B8D3600">
      <w:pPr>
        <w:pStyle w:val="341"/>
        <w:numPr>
          <w:ilvl w:val="0"/>
          <w:numId w:val="17"/>
        </w:numPr>
        <w:spacing w:line="276" w:lineRule="auto"/>
        <w:ind w:left="720" w:right="-1" w:hanging="360"/>
      </w:pPr>
      <w:r>
        <w:t>Tracciabilità;</w:t>
      </w:r>
    </w:p>
    <w:p w14:paraId="793E4E07">
      <w:pPr>
        <w:pStyle w:val="341"/>
        <w:numPr>
          <w:ilvl w:val="0"/>
          <w:numId w:val="17"/>
        </w:numPr>
        <w:spacing w:line="276" w:lineRule="auto"/>
        <w:ind w:left="720" w:right="-1" w:hanging="360"/>
      </w:pPr>
      <w:r>
        <w:t>Sicurezza dell'hardware;</w:t>
      </w:r>
    </w:p>
    <w:p w14:paraId="4ADCF663">
      <w:pPr>
        <w:pStyle w:val="341"/>
        <w:numPr>
          <w:ilvl w:val="0"/>
          <w:numId w:val="17"/>
        </w:numPr>
        <w:spacing w:line="276" w:lineRule="auto"/>
        <w:ind w:left="720" w:right="-1" w:hanging="360"/>
      </w:pPr>
      <w:r>
        <w:t>Gestione dei rischi;</w:t>
      </w:r>
    </w:p>
    <w:p w14:paraId="181949E2">
      <w:pPr>
        <w:pStyle w:val="341"/>
        <w:numPr>
          <w:ilvl w:val="0"/>
          <w:numId w:val="17"/>
        </w:numPr>
        <w:spacing w:line="276" w:lineRule="auto"/>
        <w:ind w:left="720" w:right="-1" w:hanging="360"/>
      </w:pPr>
      <w:r>
        <w:t>Contratto con il Responsabile del trattamento;</w:t>
      </w:r>
    </w:p>
    <w:p w14:paraId="0E68BC24">
      <w:pPr>
        <w:pStyle w:val="341"/>
        <w:numPr>
          <w:ilvl w:val="0"/>
          <w:numId w:val="17"/>
        </w:numPr>
        <w:spacing w:line="276" w:lineRule="auto"/>
        <w:ind w:left="720" w:right="-1" w:hanging="360"/>
      </w:pPr>
      <w:r>
        <w:t>Gestione del personale.</w:t>
      </w:r>
    </w:p>
    <w:p w14:paraId="3ECADE54">
      <w:pPr>
        <w:spacing w:line="276" w:lineRule="auto"/>
      </w:pPr>
    </w:p>
    <w:p w14:paraId="2EECD16F">
      <w:pPr>
        <w:spacing w:line="276" w:lineRule="auto"/>
      </w:pPr>
      <w:r>
        <w:t>Come stimereste la gravità del rischio, specialmente alla luce degli impatti potenziali e delle misure pianificate?</w:t>
      </w: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75970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4BE7230D">
            <w:pPr>
              <w:pStyle w:val="341"/>
              <w:numPr>
                <w:ilvl w:val="0"/>
                <w:numId w:val="11"/>
              </w:numPr>
              <w:spacing w:line="276" w:lineRule="auto"/>
              <w:ind w:left="360" w:right="-1" w:hanging="357"/>
            </w:pPr>
            <w:r>
              <w:t>Importante: l’accesso illegittimo potrebbe comportare un danno reputazionale nei confronti degli interessati causato da una perdita di riservatezza.</w:t>
            </w:r>
          </w:p>
        </w:tc>
      </w:tr>
    </w:tbl>
    <w:p w14:paraId="6E459D17"/>
    <w:p w14:paraId="5998E3F7">
      <w:pPr>
        <w:spacing w:line="276" w:lineRule="auto"/>
      </w:pPr>
      <w:r>
        <w:t>Come stimereste la probabilità del rischio, specialmente con riguardo alle minacce, alle fonti di rischio e alle misure pianificate?</w:t>
      </w:r>
    </w:p>
    <w:tbl>
      <w:tblPr>
        <w:tblStyle w:val="20"/>
        <w:tblW w:w="96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08"/>
      </w:tblGrid>
      <w:tr w14:paraId="151D5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0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1F95EBD9">
            <w:pPr>
              <w:pStyle w:val="341"/>
              <w:numPr>
                <w:ilvl w:val="0"/>
                <w:numId w:val="11"/>
              </w:numPr>
              <w:spacing w:line="276" w:lineRule="auto"/>
              <w:ind w:left="360" w:right="-1" w:hanging="357"/>
            </w:pPr>
            <w:r>
              <w:t>Trascurabile, Alla luce delle misure tecniche e organizzative adottate, si stima che la probabilità del rischio sia trascurabile, al netto del possibile impatto sui diritti e sulle libertà degli interessati qualora dovesse verificarsi una violazione di dati personali.</w:t>
            </w:r>
          </w:p>
        </w:tc>
      </w:tr>
    </w:tbl>
    <w:p w14:paraId="68BAC0E1"/>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6B8B2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628" w:type="dxa"/>
            <w:tcBorders>
              <w:top w:val="single" w:color="538135" w:sz="12" w:space="0"/>
              <w:left w:val="single" w:color="538135" w:sz="12" w:space="0"/>
              <w:bottom w:val="single" w:color="538135" w:sz="12" w:space="0"/>
              <w:right w:val="single" w:color="538135" w:sz="12" w:space="0"/>
              <w:insideH w:val="single" w:sz="12" w:space="0"/>
              <w:insideV w:val="single" w:sz="12" w:space="0"/>
            </w:tcBorders>
            <w:shd w:val="clear" w:color="auto" w:fill="E2EFD9" w:themeFill="accent6" w:themeFillTint="33"/>
          </w:tcPr>
          <w:p w14:paraId="16DE07D5">
            <w:pPr>
              <w:spacing w:line="276" w:lineRule="auto"/>
            </w:pPr>
            <w:r>
              <w:rPr>
                <w:b/>
                <w:bCs/>
              </w:rPr>
              <w:t xml:space="preserve">Valutazione: </w:t>
            </w:r>
            <w:r>
              <w:t>Accettabile</w:t>
            </w:r>
          </w:p>
          <w:p w14:paraId="5D275D18">
            <w:pPr>
              <w:spacing w:before="0" w:after="3" w:line="276" w:lineRule="auto"/>
            </w:pPr>
            <w:r>
              <w:t>Commento di valutazione: Pur essendo importante la rilevanza della gravità del rischio, l’adozione di molteplici misure di sicurezza permette di circoscrivere notevolmente la probabilità che l’evento si verifichi.</w:t>
            </w:r>
          </w:p>
        </w:tc>
      </w:tr>
    </w:tbl>
    <w:p w14:paraId="3CECEA96">
      <w:pPr>
        <w:spacing w:before="0" w:after="160" w:line="259" w:lineRule="auto"/>
        <w:ind w:right="0" w:firstLine="0"/>
        <w:jc w:val="left"/>
      </w:pPr>
      <w:r>
        <w:br w:type="page"/>
      </w:r>
    </w:p>
    <w:p w14:paraId="478B4E0A">
      <w:pPr>
        <w:pStyle w:val="3"/>
        <w:shd w:val="clear" w:color="auto" w:fill="D9E2F3"/>
        <w:spacing w:line="240" w:lineRule="auto"/>
        <w:rPr>
          <w:rStyle w:val="46"/>
          <w:iCs w:val="0"/>
          <w:caps w:val="0"/>
          <w:smallCaps w:val="0"/>
          <w:color w:val="2F5597" w:themeColor="accent1" w:themeShade="BF"/>
          <w:sz w:val="28"/>
        </w:rPr>
      </w:pPr>
      <w:bookmarkStart w:id="38" w:name="_Toc211869164"/>
      <w:r>
        <w:rPr>
          <w:rStyle w:val="46"/>
          <w:iCs w:val="0"/>
          <w:caps w:val="0"/>
          <w:smallCaps w:val="0"/>
          <w:color w:val="2F5597" w:themeColor="accent1" w:themeShade="BF"/>
          <w:sz w:val="28"/>
        </w:rPr>
        <w:t>Modifiche indesiderate dei dati</w:t>
      </w:r>
      <w:bookmarkEnd w:id="38"/>
    </w:p>
    <w:p w14:paraId="27022E6A">
      <w:pPr>
        <w:spacing w:line="276" w:lineRule="auto"/>
      </w:pPr>
    </w:p>
    <w:p w14:paraId="34CC1A50">
      <w:pPr>
        <w:spacing w:line="276" w:lineRule="auto"/>
      </w:pPr>
      <w:r>
        <w:t>Quali sarebbero i principali impatti sugli interessati se il rischio si dovesse concretizzare?</w:t>
      </w:r>
    </w:p>
    <w:p w14:paraId="5D12026E">
      <w:pPr>
        <w:pStyle w:val="341"/>
        <w:numPr>
          <w:ilvl w:val="0"/>
          <w:numId w:val="18"/>
        </w:numPr>
        <w:spacing w:line="276" w:lineRule="auto"/>
        <w:ind w:left="720" w:right="-1" w:hanging="360"/>
      </w:pPr>
      <w:r>
        <w:t>Alterazione delle targhe degli automezzi e conseguente sanzione a carico di ignoti;</w:t>
      </w:r>
    </w:p>
    <w:p w14:paraId="5E3D2DDF">
      <w:pPr>
        <w:pStyle w:val="341"/>
        <w:numPr>
          <w:ilvl w:val="0"/>
          <w:numId w:val="18"/>
        </w:numPr>
        <w:spacing w:line="276" w:lineRule="auto"/>
        <w:ind w:left="720" w:right="-1" w:hanging="360"/>
      </w:pPr>
      <w:r>
        <w:t>Impossibilità di perseguire il reato commesso ai danni del cittadino in caso di alterazione delle immagini;</w:t>
      </w:r>
    </w:p>
    <w:p w14:paraId="21180EB7">
      <w:pPr>
        <w:pStyle w:val="341"/>
        <w:numPr>
          <w:ilvl w:val="0"/>
          <w:numId w:val="18"/>
        </w:numPr>
        <w:spacing w:line="276" w:lineRule="auto"/>
        <w:ind w:left="720" w:right="-1" w:hanging="360"/>
      </w:pPr>
      <w:r>
        <w:t>Impossibilità di tutelare diritti degli interessati o di perseguire reati commessi a danno degli interessati;</w:t>
      </w:r>
    </w:p>
    <w:p w14:paraId="01A9B075">
      <w:pPr>
        <w:pStyle w:val="341"/>
        <w:numPr>
          <w:ilvl w:val="0"/>
          <w:numId w:val="18"/>
        </w:numPr>
        <w:spacing w:line="276" w:lineRule="auto"/>
        <w:ind w:left="720" w:right="-1" w:hanging="360"/>
      </w:pPr>
      <w:r>
        <w:t>Danno reputazionale nei confronti degli interessati.</w:t>
      </w:r>
    </w:p>
    <w:p w14:paraId="10FF14B8">
      <w:pPr>
        <w:spacing w:line="276" w:lineRule="auto"/>
      </w:pPr>
    </w:p>
    <w:p w14:paraId="215A6F98">
      <w:pPr>
        <w:spacing w:line="276" w:lineRule="auto"/>
      </w:pPr>
      <w:r>
        <w:t>Quali sono le principali minacce che potrebbero consentire la concretizzazione del rischio?</w:t>
      </w:r>
    </w:p>
    <w:p w14:paraId="2C6DAA57">
      <w:pPr>
        <w:pStyle w:val="341"/>
        <w:numPr>
          <w:ilvl w:val="0"/>
          <w:numId w:val="19"/>
        </w:numPr>
        <w:spacing w:line="276" w:lineRule="auto"/>
        <w:ind w:left="720" w:right="-1" w:hanging="360"/>
      </w:pPr>
      <w:r>
        <w:t>Alterazione delle immagini;</w:t>
      </w:r>
    </w:p>
    <w:p w14:paraId="56B09790">
      <w:pPr>
        <w:pStyle w:val="341"/>
        <w:numPr>
          <w:ilvl w:val="0"/>
          <w:numId w:val="19"/>
        </w:numPr>
        <w:spacing w:line="276" w:lineRule="auto"/>
        <w:ind w:left="720" w:right="-1" w:hanging="360"/>
      </w:pPr>
      <w:r>
        <w:t>Malware;</w:t>
      </w:r>
    </w:p>
    <w:p w14:paraId="4390FB04">
      <w:pPr>
        <w:pStyle w:val="341"/>
        <w:numPr>
          <w:ilvl w:val="0"/>
          <w:numId w:val="19"/>
        </w:numPr>
        <w:spacing w:line="276" w:lineRule="auto"/>
        <w:ind w:left="720" w:right="-1" w:hanging="360"/>
      </w:pPr>
      <w:r>
        <w:t>Accesso abusivo al sistema dell’Ente;</w:t>
      </w:r>
    </w:p>
    <w:p w14:paraId="55EC16B0">
      <w:pPr>
        <w:pStyle w:val="341"/>
        <w:numPr>
          <w:ilvl w:val="0"/>
          <w:numId w:val="19"/>
        </w:numPr>
        <w:spacing w:line="276" w:lineRule="auto"/>
        <w:ind w:left="720" w:right="-1" w:hanging="360"/>
      </w:pPr>
      <w:r>
        <w:t>Accesso non autorizzato da parte del Responsabile del trattamento;</w:t>
      </w:r>
    </w:p>
    <w:p w14:paraId="33129736">
      <w:pPr>
        <w:pStyle w:val="341"/>
        <w:numPr>
          <w:ilvl w:val="0"/>
          <w:numId w:val="19"/>
        </w:numPr>
        <w:spacing w:line="276" w:lineRule="auto"/>
        <w:ind w:left="720" w:right="-1" w:hanging="360"/>
      </w:pPr>
      <w:r>
        <w:t>Accesso di personale interno non autorizzato;</w:t>
      </w:r>
    </w:p>
    <w:p w14:paraId="72682D34">
      <w:pPr>
        <w:pStyle w:val="341"/>
        <w:numPr>
          <w:ilvl w:val="0"/>
          <w:numId w:val="19"/>
        </w:numPr>
        <w:spacing w:line="276" w:lineRule="auto"/>
        <w:ind w:left="720" w:right="-1" w:hanging="360"/>
      </w:pPr>
      <w:r>
        <w:t>Malfunzionamento software.</w:t>
      </w:r>
    </w:p>
    <w:p w14:paraId="0045A0DD">
      <w:pPr>
        <w:spacing w:line="276" w:lineRule="auto"/>
      </w:pPr>
    </w:p>
    <w:p w14:paraId="204DAA26">
      <w:pPr>
        <w:spacing w:line="276" w:lineRule="auto"/>
      </w:pPr>
      <w:r>
        <w:t>Quali sono le fonti di rischio?</w:t>
      </w:r>
    </w:p>
    <w:p w14:paraId="3F4EB01A">
      <w:pPr>
        <w:pStyle w:val="341"/>
        <w:numPr>
          <w:ilvl w:val="0"/>
          <w:numId w:val="20"/>
        </w:numPr>
        <w:spacing w:line="276" w:lineRule="auto"/>
        <w:ind w:left="720" w:right="-1" w:hanging="360"/>
      </w:pPr>
      <w:r>
        <w:t>Fonti umane interne;</w:t>
      </w:r>
    </w:p>
    <w:p w14:paraId="1636539B">
      <w:pPr>
        <w:pStyle w:val="341"/>
        <w:numPr>
          <w:ilvl w:val="0"/>
          <w:numId w:val="20"/>
        </w:numPr>
        <w:spacing w:line="276" w:lineRule="auto"/>
        <w:ind w:left="720" w:right="-1" w:hanging="360"/>
      </w:pPr>
      <w:r>
        <w:t>Fonti umane esterne;</w:t>
      </w:r>
    </w:p>
    <w:p w14:paraId="1022A9D4">
      <w:pPr>
        <w:pStyle w:val="341"/>
        <w:numPr>
          <w:ilvl w:val="0"/>
          <w:numId w:val="20"/>
        </w:numPr>
        <w:spacing w:line="276" w:lineRule="auto"/>
        <w:ind w:left="720" w:right="-1" w:hanging="360"/>
      </w:pPr>
      <w:r>
        <w:t>Fonti non umane.</w:t>
      </w:r>
    </w:p>
    <w:p w14:paraId="2C057691">
      <w:pPr>
        <w:spacing w:line="276" w:lineRule="auto"/>
      </w:pPr>
    </w:p>
    <w:p w14:paraId="4D6B795F">
      <w:pPr>
        <w:spacing w:line="276" w:lineRule="auto"/>
      </w:pPr>
      <w:r>
        <w:t>Quali misure, fra quelle individuate, contribuiscono a mitigare il rischio?</w:t>
      </w:r>
    </w:p>
    <w:p w14:paraId="14FCC070">
      <w:pPr>
        <w:pStyle w:val="341"/>
        <w:numPr>
          <w:ilvl w:val="0"/>
          <w:numId w:val="21"/>
        </w:numPr>
        <w:spacing w:line="276" w:lineRule="auto"/>
        <w:ind w:left="720" w:right="-1" w:hanging="360"/>
      </w:pPr>
      <w:r>
        <w:t>Crittografia;</w:t>
      </w:r>
    </w:p>
    <w:p w14:paraId="28F919C5">
      <w:pPr>
        <w:pStyle w:val="341"/>
        <w:numPr>
          <w:ilvl w:val="0"/>
          <w:numId w:val="21"/>
        </w:numPr>
        <w:spacing w:line="276" w:lineRule="auto"/>
        <w:ind w:left="720" w:right="-1" w:hanging="360"/>
      </w:pPr>
      <w:r>
        <w:t>Controllo degli accessi logici;</w:t>
      </w:r>
    </w:p>
    <w:p w14:paraId="1BB5EB73">
      <w:pPr>
        <w:pStyle w:val="341"/>
        <w:numPr>
          <w:ilvl w:val="0"/>
          <w:numId w:val="21"/>
        </w:numPr>
        <w:spacing w:line="276" w:lineRule="auto"/>
        <w:ind w:left="720" w:right="-1" w:hanging="360"/>
      </w:pPr>
      <w:r>
        <w:t>Tracciabilità;</w:t>
      </w:r>
    </w:p>
    <w:p w14:paraId="2819858A">
      <w:pPr>
        <w:pStyle w:val="341"/>
        <w:numPr>
          <w:ilvl w:val="0"/>
          <w:numId w:val="21"/>
        </w:numPr>
        <w:spacing w:line="276" w:lineRule="auto"/>
        <w:ind w:left="720" w:right="-1" w:hanging="360"/>
      </w:pPr>
      <w:r>
        <w:t>Controllo degli accessi fisici;</w:t>
      </w:r>
    </w:p>
    <w:p w14:paraId="18F0907D">
      <w:pPr>
        <w:pStyle w:val="341"/>
        <w:numPr>
          <w:ilvl w:val="0"/>
          <w:numId w:val="21"/>
        </w:numPr>
        <w:spacing w:line="276" w:lineRule="auto"/>
        <w:ind w:left="720" w:right="-1" w:hanging="360"/>
      </w:pPr>
      <w:r>
        <w:t>Gestione del personale.</w:t>
      </w:r>
    </w:p>
    <w:p w14:paraId="1B0AA6BD">
      <w:pPr>
        <w:pStyle w:val="341"/>
        <w:spacing w:line="276" w:lineRule="auto"/>
        <w:ind w:right="-1" w:firstLine="0"/>
      </w:pPr>
    </w:p>
    <w:p w14:paraId="75B570D0">
      <w:pPr>
        <w:spacing w:line="276" w:lineRule="auto"/>
      </w:pPr>
      <w:r>
        <w:t>Come stimereste la gravità del rischio, in particolare alla luce degli impatti potenziali e delle misure pianificate?</w:t>
      </w:r>
    </w:p>
    <w:p w14:paraId="1097F88E">
      <w:pPr>
        <w:spacing w:line="276" w:lineRule="auto"/>
      </w:pP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30C8C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277A16E0">
            <w:pPr>
              <w:pStyle w:val="341"/>
              <w:numPr>
                <w:ilvl w:val="0"/>
                <w:numId w:val="11"/>
              </w:numPr>
              <w:spacing w:line="276" w:lineRule="auto"/>
              <w:ind w:left="360" w:right="-1" w:hanging="357"/>
            </w:pPr>
            <w:r>
              <w:rPr>
                <w:rFonts w:cstheme="majorHAnsi"/>
              </w:rPr>
              <w:t>Importante: la modifica dei dati creerebbe un notevole danno sotto diversi profili</w:t>
            </w:r>
            <w:r>
              <w:t>, sebbene l’adozione di molteplici misure di attenuazione del rischio mitiga la gravità del rischio stesso.</w:t>
            </w:r>
          </w:p>
        </w:tc>
      </w:tr>
    </w:tbl>
    <w:p w14:paraId="0A855728">
      <w:pPr>
        <w:spacing w:line="276" w:lineRule="auto"/>
      </w:pPr>
    </w:p>
    <w:p w14:paraId="5D2EDB9B">
      <w:pPr>
        <w:spacing w:line="276" w:lineRule="auto"/>
      </w:pPr>
      <w:r>
        <w:t>Come stimereste la probabilità del rischio, specialmente con riguardo a minacce, fonti di rischio e misure pianificate?</w:t>
      </w:r>
    </w:p>
    <w:p w14:paraId="74A20E13">
      <w:pPr>
        <w:spacing w:line="276" w:lineRule="auto"/>
      </w:pP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68B9B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7765E8C9">
            <w:pPr>
              <w:pStyle w:val="341"/>
              <w:numPr>
                <w:ilvl w:val="0"/>
                <w:numId w:val="11"/>
              </w:numPr>
              <w:spacing w:line="276" w:lineRule="auto"/>
              <w:ind w:left="360" w:right="-1" w:hanging="357"/>
            </w:pPr>
            <w:r>
              <w:t>Trascurabile. Alla luce delle misure tecniche e organizzative adottate, si stima che la probabilità del rischio sia trascurabile, al netto del possibile impatto sui diritti e sulle libertà degli interessati qualora dovesse verificarsi una violazione di dati personali.</w:t>
            </w:r>
          </w:p>
        </w:tc>
      </w:tr>
    </w:tbl>
    <w:p w14:paraId="3B4229F6"/>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5C264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538135" w:sz="12" w:space="0"/>
              <w:left w:val="single" w:color="538135" w:sz="12" w:space="0"/>
              <w:bottom w:val="single" w:color="538135" w:sz="12" w:space="0"/>
              <w:right w:val="single" w:color="538135" w:sz="12" w:space="0"/>
              <w:insideH w:val="single" w:sz="12" w:space="0"/>
              <w:insideV w:val="single" w:sz="12" w:space="0"/>
            </w:tcBorders>
            <w:shd w:val="clear" w:color="auto" w:fill="E2EFD9" w:themeFill="accent6" w:themeFillTint="33"/>
          </w:tcPr>
          <w:p w14:paraId="14853AC4">
            <w:pPr>
              <w:spacing w:line="276" w:lineRule="auto"/>
              <w:rPr>
                <w:b/>
                <w:bCs/>
              </w:rPr>
            </w:pPr>
            <w:r>
              <w:rPr>
                <w:b/>
                <w:bCs/>
              </w:rPr>
              <w:t xml:space="preserve">Valutazione: </w:t>
            </w:r>
            <w:r>
              <w:t>Accettabile</w:t>
            </w:r>
          </w:p>
          <w:p w14:paraId="029B26AE">
            <w:pPr>
              <w:spacing w:before="0" w:after="3" w:line="276" w:lineRule="auto"/>
            </w:pPr>
            <w:r>
              <w:t>Commento di valutazione: Pur essendo importante la rilevanza della gravità del rischio, l’adozione di molteplici misure di sicurezza permette di circoscrivere notevolmente la probabilità che l’evento si verifichi.</w:t>
            </w:r>
          </w:p>
        </w:tc>
      </w:tr>
    </w:tbl>
    <w:p w14:paraId="4A4B7FC7">
      <w:pPr>
        <w:spacing w:before="0" w:after="160" w:line="259" w:lineRule="auto"/>
        <w:ind w:right="0" w:firstLine="0"/>
        <w:jc w:val="left"/>
      </w:pPr>
      <w:r>
        <w:br w:type="page"/>
      </w:r>
    </w:p>
    <w:p w14:paraId="7302818B">
      <w:pPr>
        <w:pStyle w:val="3"/>
        <w:shd w:val="clear" w:color="auto" w:fill="D9E2F3"/>
        <w:spacing w:line="240" w:lineRule="auto"/>
        <w:rPr>
          <w:rStyle w:val="46"/>
          <w:iCs w:val="0"/>
          <w:caps w:val="0"/>
          <w:smallCaps w:val="0"/>
          <w:color w:val="2F5597" w:themeColor="accent1" w:themeShade="BF"/>
          <w:sz w:val="28"/>
        </w:rPr>
      </w:pPr>
      <w:bookmarkStart w:id="39" w:name="_Toc211869165"/>
      <w:r>
        <w:rPr>
          <w:rStyle w:val="46"/>
          <w:iCs w:val="0"/>
          <w:caps w:val="0"/>
          <w:smallCaps w:val="0"/>
          <w:color w:val="2F5597" w:themeColor="accent1" w:themeShade="BF"/>
          <w:sz w:val="28"/>
        </w:rPr>
        <w:t>Perdita di dati</w:t>
      </w:r>
      <w:bookmarkEnd w:id="39"/>
    </w:p>
    <w:p w14:paraId="1087CE15">
      <w:pPr>
        <w:spacing w:line="276" w:lineRule="auto"/>
      </w:pPr>
    </w:p>
    <w:p w14:paraId="27F8ECAA">
      <w:pPr>
        <w:spacing w:line="276" w:lineRule="auto"/>
      </w:pPr>
      <w:r>
        <w:t>Quali potrebbero essere gli impatti principali sugli interessati se il rischio dovesse concretizzarsi?</w:t>
      </w:r>
    </w:p>
    <w:p w14:paraId="606A80EF">
      <w:pPr>
        <w:spacing w:line="276" w:lineRule="auto"/>
      </w:pPr>
    </w:p>
    <w:p w14:paraId="39CCC2DA">
      <w:pPr>
        <w:spacing w:line="276" w:lineRule="auto"/>
      </w:pPr>
      <w:r>
        <w:t>Mancata impossibilità di tutelare i diritti degli interessati o di perseguire reati commessi a danno degli interessati.</w:t>
      </w:r>
    </w:p>
    <w:p w14:paraId="334AC27B">
      <w:pPr>
        <w:spacing w:line="276" w:lineRule="auto"/>
      </w:pPr>
    </w:p>
    <w:p w14:paraId="5B8613CD">
      <w:pPr>
        <w:spacing w:line="276" w:lineRule="auto"/>
      </w:pPr>
      <w:r>
        <w:t>Quali sono le principali minacce che potrebbero consentire la materializzazione del rischio?</w:t>
      </w:r>
    </w:p>
    <w:p w14:paraId="669C8D57">
      <w:pPr>
        <w:pStyle w:val="341"/>
        <w:numPr>
          <w:ilvl w:val="0"/>
          <w:numId w:val="22"/>
        </w:numPr>
        <w:spacing w:line="276" w:lineRule="auto"/>
        <w:ind w:left="720" w:right="-1" w:hanging="360"/>
      </w:pPr>
      <w:r>
        <w:t>Eventi naturali;</w:t>
      </w:r>
    </w:p>
    <w:p w14:paraId="10B78263">
      <w:pPr>
        <w:pStyle w:val="341"/>
        <w:numPr>
          <w:ilvl w:val="0"/>
          <w:numId w:val="22"/>
        </w:numPr>
        <w:spacing w:line="276" w:lineRule="auto"/>
        <w:ind w:left="720" w:right="-1" w:hanging="360"/>
      </w:pPr>
      <w:r>
        <w:t>Guasti hardware;</w:t>
      </w:r>
    </w:p>
    <w:p w14:paraId="3903547F">
      <w:pPr>
        <w:pStyle w:val="341"/>
        <w:numPr>
          <w:ilvl w:val="0"/>
          <w:numId w:val="22"/>
        </w:numPr>
        <w:spacing w:line="276" w:lineRule="auto"/>
        <w:ind w:left="720" w:right="-1" w:hanging="360"/>
      </w:pPr>
      <w:r>
        <w:t>Malfunzionamento software;</w:t>
      </w:r>
    </w:p>
    <w:p w14:paraId="2EAD9022">
      <w:pPr>
        <w:pStyle w:val="341"/>
        <w:numPr>
          <w:ilvl w:val="0"/>
          <w:numId w:val="22"/>
        </w:numPr>
        <w:spacing w:line="276" w:lineRule="auto"/>
        <w:ind w:left="720" w:right="-1" w:hanging="360"/>
      </w:pPr>
      <w:r>
        <w:t>Manomissione delle telecamere;</w:t>
      </w:r>
    </w:p>
    <w:p w14:paraId="469E45D0">
      <w:pPr>
        <w:pStyle w:val="341"/>
        <w:numPr>
          <w:ilvl w:val="0"/>
          <w:numId w:val="22"/>
        </w:numPr>
        <w:spacing w:line="276" w:lineRule="auto"/>
        <w:ind w:left="720" w:right="-1" w:hanging="360"/>
      </w:pPr>
      <w:r>
        <w:t>Interruzione dei canali di trasmissione;</w:t>
      </w:r>
    </w:p>
    <w:p w14:paraId="120C2B69">
      <w:pPr>
        <w:pStyle w:val="341"/>
        <w:numPr>
          <w:ilvl w:val="0"/>
          <w:numId w:val="22"/>
        </w:numPr>
        <w:spacing w:line="276" w:lineRule="auto"/>
        <w:ind w:left="720" w:right="-1" w:hanging="360"/>
      </w:pPr>
      <w:r>
        <w:t>Malware;</w:t>
      </w:r>
    </w:p>
    <w:p w14:paraId="2BBE9277">
      <w:pPr>
        <w:pStyle w:val="341"/>
        <w:numPr>
          <w:ilvl w:val="0"/>
          <w:numId w:val="22"/>
        </w:numPr>
        <w:spacing w:line="276" w:lineRule="auto"/>
        <w:ind w:left="720" w:right="-1" w:hanging="360"/>
      </w:pPr>
      <w:r>
        <w:t>Manomissione dell'infrastruttura.</w:t>
      </w:r>
    </w:p>
    <w:p w14:paraId="02E6DFC2">
      <w:pPr>
        <w:spacing w:line="276" w:lineRule="auto"/>
      </w:pPr>
    </w:p>
    <w:p w14:paraId="0B338F28">
      <w:pPr>
        <w:spacing w:line="276" w:lineRule="auto"/>
      </w:pPr>
      <w:r>
        <w:t>Quali sono le fonti di rischio?</w:t>
      </w:r>
    </w:p>
    <w:p w14:paraId="214DA497">
      <w:pPr>
        <w:pStyle w:val="341"/>
        <w:numPr>
          <w:ilvl w:val="0"/>
          <w:numId w:val="23"/>
        </w:numPr>
        <w:spacing w:line="276" w:lineRule="auto"/>
        <w:ind w:left="720" w:right="-1" w:hanging="360"/>
      </w:pPr>
      <w:r>
        <w:t>Fonti umane interne;</w:t>
      </w:r>
    </w:p>
    <w:p w14:paraId="28C21F29">
      <w:pPr>
        <w:pStyle w:val="341"/>
        <w:numPr>
          <w:ilvl w:val="0"/>
          <w:numId w:val="23"/>
        </w:numPr>
        <w:spacing w:line="276" w:lineRule="auto"/>
        <w:ind w:left="720" w:right="-1" w:hanging="360"/>
      </w:pPr>
      <w:r>
        <w:t>Fonti umane esterne;</w:t>
      </w:r>
    </w:p>
    <w:p w14:paraId="670FD21C">
      <w:pPr>
        <w:pStyle w:val="341"/>
        <w:numPr>
          <w:ilvl w:val="0"/>
          <w:numId w:val="23"/>
        </w:numPr>
        <w:spacing w:line="276" w:lineRule="auto"/>
        <w:ind w:left="720" w:right="-1" w:hanging="360"/>
      </w:pPr>
      <w:r>
        <w:t>Fonti non umane.</w:t>
      </w:r>
    </w:p>
    <w:p w14:paraId="1975F1CE">
      <w:pPr>
        <w:spacing w:line="276" w:lineRule="auto"/>
      </w:pPr>
    </w:p>
    <w:p w14:paraId="62D0729A">
      <w:pPr>
        <w:spacing w:line="276" w:lineRule="auto"/>
      </w:pPr>
      <w:r>
        <w:t>Quali misure, fra quelle individuate, contribuiscono a mitigare il rischio?</w:t>
      </w:r>
    </w:p>
    <w:p w14:paraId="0834CE0C">
      <w:pPr>
        <w:pStyle w:val="341"/>
        <w:numPr>
          <w:ilvl w:val="0"/>
          <w:numId w:val="24"/>
        </w:numPr>
        <w:spacing w:line="276" w:lineRule="auto"/>
        <w:ind w:left="720" w:right="-1" w:hanging="360"/>
      </w:pPr>
      <w:r>
        <w:t>Controllo degli accessi fisici;</w:t>
      </w:r>
    </w:p>
    <w:p w14:paraId="7017057D">
      <w:pPr>
        <w:pStyle w:val="341"/>
        <w:numPr>
          <w:ilvl w:val="0"/>
          <w:numId w:val="24"/>
        </w:numPr>
        <w:spacing w:line="276" w:lineRule="auto"/>
        <w:ind w:left="720" w:right="-1" w:hanging="360"/>
      </w:pPr>
      <w:r>
        <w:t>Controllo degli accessi logici;</w:t>
      </w:r>
    </w:p>
    <w:p w14:paraId="37351AF0">
      <w:pPr>
        <w:pStyle w:val="341"/>
        <w:numPr>
          <w:ilvl w:val="0"/>
          <w:numId w:val="24"/>
        </w:numPr>
        <w:spacing w:line="276" w:lineRule="auto"/>
        <w:ind w:left="720" w:right="-1" w:hanging="360"/>
      </w:pPr>
      <w:r>
        <w:t>Tracciabilità;</w:t>
      </w:r>
    </w:p>
    <w:p w14:paraId="59AE8544">
      <w:pPr>
        <w:pStyle w:val="341"/>
        <w:numPr>
          <w:ilvl w:val="0"/>
          <w:numId w:val="24"/>
        </w:numPr>
        <w:spacing w:line="276" w:lineRule="auto"/>
        <w:ind w:left="720" w:right="-1" w:hanging="360"/>
      </w:pPr>
      <w:r>
        <w:t>Archiviazione;</w:t>
      </w:r>
    </w:p>
    <w:p w14:paraId="5EE6DB29">
      <w:pPr>
        <w:pStyle w:val="341"/>
        <w:numPr>
          <w:ilvl w:val="0"/>
          <w:numId w:val="24"/>
        </w:numPr>
        <w:spacing w:line="276" w:lineRule="auto"/>
        <w:ind w:left="720" w:right="-1" w:hanging="360"/>
      </w:pPr>
      <w:r>
        <w:t>Manutenzione;</w:t>
      </w:r>
    </w:p>
    <w:p w14:paraId="09228543">
      <w:pPr>
        <w:pStyle w:val="341"/>
        <w:numPr>
          <w:ilvl w:val="0"/>
          <w:numId w:val="24"/>
        </w:numPr>
        <w:spacing w:line="276" w:lineRule="auto"/>
        <w:ind w:left="720" w:right="-1" w:hanging="360"/>
      </w:pPr>
      <w:r>
        <w:t>Sicurezza dell'hardware;</w:t>
      </w:r>
    </w:p>
    <w:p w14:paraId="57A4E480">
      <w:pPr>
        <w:pStyle w:val="341"/>
        <w:numPr>
          <w:ilvl w:val="0"/>
          <w:numId w:val="24"/>
        </w:numPr>
        <w:spacing w:line="276" w:lineRule="auto"/>
        <w:ind w:left="720" w:right="-1" w:hanging="360"/>
      </w:pPr>
      <w:r>
        <w:t>Contratto con il Responsabile del trattamento;</w:t>
      </w:r>
    </w:p>
    <w:p w14:paraId="155357A8">
      <w:pPr>
        <w:pStyle w:val="341"/>
        <w:numPr>
          <w:ilvl w:val="0"/>
          <w:numId w:val="24"/>
        </w:numPr>
        <w:spacing w:line="276" w:lineRule="auto"/>
        <w:ind w:left="720" w:right="-1" w:hanging="360"/>
      </w:pPr>
      <w:r>
        <w:t>Gestione del personale.</w:t>
      </w:r>
    </w:p>
    <w:p w14:paraId="60719183">
      <w:pPr>
        <w:spacing w:line="276" w:lineRule="auto"/>
      </w:pPr>
    </w:p>
    <w:p w14:paraId="5D1B6330">
      <w:pPr>
        <w:spacing w:line="276" w:lineRule="auto"/>
      </w:pPr>
      <w:r>
        <w:t>Come stimereste la gravità del rischio, specialmente alla luce degli impatti potenziali e delle misure pianificate?</w:t>
      </w: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0E631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5F195C12">
            <w:pPr>
              <w:pStyle w:val="341"/>
              <w:numPr>
                <w:ilvl w:val="0"/>
                <w:numId w:val="11"/>
              </w:numPr>
              <w:spacing w:line="276" w:lineRule="auto"/>
              <w:ind w:left="360" w:right="-1" w:hanging="357"/>
            </w:pPr>
            <w:r>
              <w:t>Importante: La perdita della disponibilità dei dati si tradurrebbe nella impossibilità di tutelare i diritti degli interessati o di perseguire reati commessi a danno degli interessat</w:t>
            </w:r>
            <w:bookmarkStart w:id="40" w:name="__DdeLink__4047_3219137116"/>
            <w:bookmarkEnd w:id="40"/>
            <w:r>
              <w:t>i</w:t>
            </w:r>
          </w:p>
        </w:tc>
      </w:tr>
    </w:tbl>
    <w:p w14:paraId="6243C90A">
      <w:pPr>
        <w:spacing w:line="276" w:lineRule="auto"/>
      </w:pPr>
    </w:p>
    <w:p w14:paraId="021AF15E">
      <w:pPr>
        <w:spacing w:line="276" w:lineRule="auto"/>
      </w:pPr>
      <w:r>
        <w:t>Come stimereste la probabilità del rischio, specialmente con riguardo alle minacce, alle fonti di rischio e alle misure pianificate?</w:t>
      </w: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1A958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2E69FCC9">
            <w:pPr>
              <w:pStyle w:val="341"/>
              <w:numPr>
                <w:ilvl w:val="0"/>
                <w:numId w:val="11"/>
              </w:numPr>
              <w:spacing w:line="276" w:lineRule="auto"/>
              <w:ind w:left="360" w:right="-1" w:hanging="357"/>
            </w:pPr>
            <w:r>
              <w:t>Trascurabile. Alla luce delle misure tecniche e organizzative adottate, si stima che la probabilità del rischio sia trascurabile, al netto del possibile impatto sui diritti e sulle libertà degli interessati qualora dovesse verificarsi una violazione di dati personali.</w:t>
            </w:r>
          </w:p>
        </w:tc>
      </w:tr>
    </w:tbl>
    <w:p w14:paraId="7AE5E559"/>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66855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538135" w:sz="12" w:space="0"/>
              <w:left w:val="single" w:color="538135" w:sz="12" w:space="0"/>
              <w:bottom w:val="single" w:color="538135" w:sz="12" w:space="0"/>
              <w:right w:val="single" w:color="538135" w:sz="12" w:space="0"/>
              <w:insideH w:val="single" w:sz="12" w:space="0"/>
              <w:insideV w:val="single" w:sz="12" w:space="0"/>
            </w:tcBorders>
            <w:shd w:val="clear" w:color="auto" w:fill="E2EFD9" w:themeFill="accent6" w:themeFillTint="33"/>
          </w:tcPr>
          <w:p w14:paraId="30385CA1">
            <w:pPr>
              <w:spacing w:line="276" w:lineRule="auto"/>
              <w:rPr>
                <w:b/>
                <w:bCs/>
              </w:rPr>
            </w:pPr>
            <w:r>
              <w:rPr>
                <w:b/>
                <w:bCs/>
              </w:rPr>
              <w:t xml:space="preserve">Valutazione: </w:t>
            </w:r>
            <w:r>
              <w:t>Accettabile</w:t>
            </w:r>
          </w:p>
          <w:p w14:paraId="4B4CF68A">
            <w:pPr>
              <w:spacing w:before="0" w:after="3" w:line="276" w:lineRule="auto"/>
            </w:pPr>
            <w:r>
              <w:t>Commento di valutazione: Pur essendo importante la rilevanza della gravità del rischio, l’adozione di molteplici misure di sicurezza permette di circoscrivere notevolmente la probabilità che l’evento si verifichi.</w:t>
            </w:r>
          </w:p>
        </w:tc>
      </w:tr>
    </w:tbl>
    <w:p w14:paraId="74E1F388">
      <w:pPr>
        <w:spacing w:before="0" w:after="160" w:line="259" w:lineRule="auto"/>
        <w:ind w:right="0" w:firstLine="0"/>
        <w:jc w:val="left"/>
      </w:pPr>
      <w:r>
        <w:br w:type="page"/>
      </w:r>
    </w:p>
    <w:p w14:paraId="7BA8C654">
      <w:pPr>
        <w:pStyle w:val="3"/>
        <w:shd w:val="clear" w:color="auto" w:fill="D9E2F3"/>
        <w:spacing w:line="276" w:lineRule="auto"/>
        <w:rPr>
          <w:rStyle w:val="46"/>
          <w:iCs w:val="0"/>
          <w:caps w:val="0"/>
          <w:smallCaps w:val="0"/>
          <w:color w:val="2F5597" w:themeColor="accent1" w:themeShade="BF"/>
          <w:sz w:val="28"/>
        </w:rPr>
      </w:pPr>
      <w:bookmarkStart w:id="41" w:name="_Toc211869166"/>
      <w:r>
        <w:rPr>
          <w:rStyle w:val="46"/>
          <w:iCs w:val="0"/>
          <w:caps w:val="0"/>
          <w:smallCaps w:val="0"/>
          <w:color w:val="2F5597" w:themeColor="accent1" w:themeShade="BF"/>
          <w:sz w:val="28"/>
        </w:rPr>
        <w:t>Piano d’azione</w:t>
      </w:r>
      <w:bookmarkEnd w:id="41"/>
    </w:p>
    <w:p w14:paraId="0AEBEE37"/>
    <w:p w14:paraId="73215D25">
      <w:pPr>
        <w:pStyle w:val="4"/>
      </w:pPr>
      <w:bookmarkStart w:id="42" w:name="_Toc211869167"/>
      <w:r>
        <w:t>Principi fondamentali</w:t>
      </w:r>
      <w:bookmarkEnd w:id="42"/>
    </w:p>
    <w:p w14:paraId="1C783B39">
      <w:pPr>
        <w:spacing w:line="276" w:lineRule="auto"/>
      </w:pPr>
    </w:p>
    <w:p w14:paraId="77BD74D0">
      <w:pPr>
        <w:spacing w:line="276" w:lineRule="auto"/>
      </w:pPr>
      <w:r>
        <w:t xml:space="preserve">Il piano d’azione cui si impegna il titolare è finalizzato a conformare il trattamento in questione ai principi e alle norme applicabili in materia di videosorveglianza e trattamento dei dati personali, in modo tale che le criticità evidenziate siano rimediate e che l’impianto possa essere rimesso in funzione. </w:t>
      </w:r>
    </w:p>
    <w:p w14:paraId="630D18DB">
      <w:pPr>
        <w:spacing w:line="276" w:lineRule="auto"/>
      </w:pPr>
      <w:r>
        <w:t>In seguito anche al contributo di analisi del DPO, dunque, il titolare si impegna ad adottare le misure indicate nella sezione sottostante.</w:t>
      </w:r>
    </w:p>
    <w:p w14:paraId="05A2DA9F">
      <w:pPr>
        <w:spacing w:line="276" w:lineRule="auto"/>
      </w:pPr>
    </w:p>
    <w:p w14:paraId="431B0C2A">
      <w:pPr>
        <w:pStyle w:val="4"/>
      </w:pPr>
      <w:bookmarkStart w:id="43" w:name="_Toc211869168"/>
      <w:r>
        <w:t>Misure pianificate</w:t>
      </w:r>
      <w:bookmarkEnd w:id="43"/>
    </w:p>
    <w:p w14:paraId="58950A1C">
      <w:pPr>
        <w:spacing w:line="276" w:lineRule="auto"/>
      </w:pPr>
    </w:p>
    <w:p w14:paraId="511A8FEB">
      <w:pPr>
        <w:spacing w:line="276" w:lineRule="auto"/>
      </w:pPr>
      <w:r>
        <w:t>Piano d’azione:</w:t>
      </w: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19488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0" w:type="dxa"/>
            <w:left w:w="160" w:type="dxa"/>
            <w:bottom w:w="170" w:type="dxa"/>
            <w:right w:w="170" w:type="dxa"/>
          </w:tblCellMar>
        </w:tblPrEx>
        <w:tc>
          <w:tcPr>
            <w:tcW w:w="962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7A45A884">
            <w:pPr>
              <w:pStyle w:val="341"/>
              <w:numPr>
                <w:ilvl w:val="0"/>
                <w:numId w:val="11"/>
              </w:numPr>
              <w:spacing w:line="276" w:lineRule="auto"/>
              <w:ind w:left="360" w:right="-1" w:hanging="357"/>
            </w:pPr>
            <w:r>
              <w:t>Installazione segnaletica aggiornata in materia di videosorveglianza entro la fine del 2026;</w:t>
            </w:r>
          </w:p>
          <w:p w14:paraId="0AC9CD0D">
            <w:pPr>
              <w:pStyle w:val="341"/>
              <w:numPr>
                <w:ilvl w:val="0"/>
                <w:numId w:val="11"/>
              </w:numPr>
              <w:spacing w:line="276" w:lineRule="auto"/>
              <w:ind w:left="360" w:right="-1" w:hanging="357"/>
            </w:pPr>
            <w:r>
              <w:t>Stipulazione accordo sindacale con RSU ai sensi dell'art. 4 della legge n. 300/1970 per le n. 2 telecamere perimetrali alla sede principale del Comune e all'ufficio di Polizia Locale e per le n. 2 dashcam in dotazione, entro la fine del 2026;</w:t>
            </w:r>
          </w:p>
          <w:p w14:paraId="13A8B04A">
            <w:pPr>
              <w:pStyle w:val="341"/>
              <w:numPr>
                <w:ilvl w:val="0"/>
                <w:numId w:val="11"/>
              </w:numPr>
              <w:spacing w:line="276" w:lineRule="auto"/>
              <w:ind w:left="360" w:right="-1" w:hanging="357"/>
            </w:pPr>
            <w:r>
              <w:t>Mantenere costantemente aggiornato il sistema informatico;</w:t>
            </w:r>
          </w:p>
          <w:p w14:paraId="75388A68">
            <w:pPr>
              <w:pStyle w:val="341"/>
              <w:numPr>
                <w:ilvl w:val="0"/>
                <w:numId w:val="11"/>
              </w:numPr>
              <w:spacing w:line="276" w:lineRule="auto"/>
              <w:ind w:left="360" w:right="-1" w:hanging="357"/>
            </w:pPr>
            <w:r>
              <w:t>Effettuare una verifica annuale dell’infrastruttura IT attraverso l’effettuazione di un vulnerability assessment;</w:t>
            </w:r>
          </w:p>
          <w:p w14:paraId="408E5C44">
            <w:pPr>
              <w:pStyle w:val="341"/>
              <w:numPr>
                <w:ilvl w:val="0"/>
                <w:numId w:val="11"/>
              </w:numPr>
              <w:spacing w:line="276" w:lineRule="auto"/>
              <w:ind w:left="360" w:right="-1" w:hanging="357"/>
            </w:pPr>
            <w:r>
              <w:t xml:space="preserve">Procedere nuovamente a effettuare una revisione della presente DPIA tra un anno e in ogni caso qualora sia modificata la configurazione del sistema, per confermare un rischio basso per i diritti e le libertà degli interessati. </w:t>
            </w:r>
          </w:p>
        </w:tc>
      </w:tr>
    </w:tbl>
    <w:p w14:paraId="0CF8E337">
      <w:pPr>
        <w:spacing w:line="276" w:lineRule="auto"/>
      </w:pPr>
    </w:p>
    <w:p w14:paraId="13BBF835">
      <w:pPr>
        <w:spacing w:line="276" w:lineRule="auto"/>
      </w:pPr>
      <w:r>
        <w:t>Parere DPO/RPD</w:t>
      </w: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70" w:type="dxa"/>
          <w:left w:w="160" w:type="dxa"/>
          <w:bottom w:w="170" w:type="dxa"/>
          <w:right w:w="170" w:type="dxa"/>
        </w:tblCellMar>
      </w:tblPr>
      <w:tblGrid>
        <w:gridCol w:w="9628"/>
      </w:tblGrid>
      <w:tr w14:paraId="309524E7">
        <w:tblPrEx>
          <w:tblCellMar>
            <w:top w:w="170" w:type="dxa"/>
            <w:left w:w="160" w:type="dxa"/>
            <w:bottom w:w="170" w:type="dxa"/>
            <w:right w:w="170" w:type="dxa"/>
          </w:tblCellMar>
        </w:tblPrEx>
        <w:tc>
          <w:tcPr>
            <w:tcW w:w="9628" w:type="dxa"/>
            <w:tcBorders>
              <w:top w:val="single" w:color="2F5496" w:sz="12" w:space="0"/>
              <w:left w:val="single" w:color="2F5496" w:sz="12" w:space="0"/>
              <w:bottom w:val="single" w:color="2F5496" w:sz="12" w:space="0"/>
              <w:right w:val="single" w:color="2F5496" w:sz="12" w:space="0"/>
              <w:insideH w:val="single" w:sz="12" w:space="0"/>
              <w:insideV w:val="single" w:sz="12" w:space="0"/>
            </w:tcBorders>
            <w:shd w:val="clear" w:color="auto" w:fill="D9E2F3" w:themeFill="accent1" w:themeFillTint="33"/>
          </w:tcPr>
          <w:p w14:paraId="306BAF2C">
            <w:pPr>
              <w:pStyle w:val="341"/>
              <w:numPr>
                <w:ilvl w:val="0"/>
                <w:numId w:val="11"/>
              </w:numPr>
              <w:spacing w:line="276" w:lineRule="auto"/>
              <w:ind w:left="360" w:right="-1" w:hanging="357"/>
            </w:pPr>
            <w:r>
              <w:t>Il responsabile della protezione dei dati ha fornito parere</w:t>
            </w:r>
            <w:r>
              <w:rPr>
                <w:color w:val="00000A"/>
              </w:rPr>
              <w:t xml:space="preserve"> favorevole </w:t>
            </w:r>
            <w:r>
              <w:t>all'adozione della presente DPIA. Il parere costituisce ALLEGATO D alla presente DPIA.</w:t>
            </w:r>
          </w:p>
        </w:tc>
      </w:tr>
    </w:tbl>
    <w:p w14:paraId="71661D03">
      <w:pPr>
        <w:sectPr>
          <w:headerReference r:id="rId7" w:type="default"/>
          <w:footerReference r:id="rId8" w:type="default"/>
          <w:pgSz w:w="11906" w:h="16838"/>
          <w:pgMar w:top="1417" w:right="1134" w:bottom="1134" w:left="1134" w:header="708" w:footer="708" w:gutter="0"/>
          <w:pgNumType w:fmt="decimal"/>
          <w:cols w:space="720" w:num="1"/>
          <w:formProt w:val="0"/>
          <w:docGrid w:linePitch="360" w:charSpace="0"/>
        </w:sectPr>
      </w:pPr>
    </w:p>
    <w:p w14:paraId="50758848">
      <w:pPr>
        <w:pStyle w:val="2"/>
      </w:pPr>
      <w:bookmarkStart w:id="44" w:name="_Toc211869169"/>
      <w:r>
        <w:t>Analisi dei rischi e azioni per mitigare</w:t>
      </w:r>
      <w:bookmarkEnd w:id="44"/>
    </w:p>
    <w:p w14:paraId="380BD256">
      <w:pPr>
        <w:spacing w:line="276" w:lineRule="auto"/>
      </w:pPr>
    </w:p>
    <w:p w14:paraId="642FB918">
      <w:pPr>
        <w:spacing w:line="276" w:lineRule="auto"/>
      </w:pPr>
      <w:r>
        <w:t>Per effettuare l’analisi dei rischi è stato utilizzato il modello VERA (Very easy risk assessment).</w:t>
      </w:r>
    </w:p>
    <w:p w14:paraId="1D2AF31A">
      <w:pPr>
        <w:spacing w:line="276" w:lineRule="auto"/>
      </w:pPr>
      <w:r>
        <w:t>Il modello applicato da VERA si basa su un approccio semplificato pensato per le PMI adatto anche alle pubbliche amministrazioni locali, per aiutarle a valutare i relativi rischi per la sicurezza.</w:t>
      </w:r>
    </w:p>
    <w:p w14:paraId="0C166155">
      <w:pPr>
        <w:spacing w:line="276" w:lineRule="auto"/>
      </w:pPr>
      <w:r>
        <w:t>VERA è progettato per la valutazione del rischio nella sicurezza delle informazioni, particolarmente adatto alle esigenze delle PMI e alle pubbliche amministrazioni locali. Questo metodo si basa sull'identificazione delle minacce, l'analisi delle misure di controllo esistenti e la determinazione delle azioni necessarie per mitigare i rischi.</w:t>
      </w:r>
    </w:p>
    <w:p w14:paraId="0318321A">
      <w:pPr>
        <w:spacing w:line="276" w:lineRule="auto"/>
      </w:pPr>
      <w:r>
        <w:t>Il metodo VERA mantiene la conformità agli standard ISO/IEC 27001 e soddisfa i requisiti di vari audit, rendendolo uno strumento versatile e prezioso.</w:t>
      </w:r>
    </w:p>
    <w:p w14:paraId="347FFA17">
      <w:pPr>
        <w:spacing w:line="276" w:lineRule="auto"/>
      </w:pPr>
      <w:r>
        <w:t>VERA eccelle nell'analisi a livello tattico e organizzativo, permettendo una valutazione complessiva dei processi di sicurezza. La sua flessibilità consente di adattarsi a diverse esigenze e standard</w:t>
      </w:r>
    </w:p>
    <w:p w14:paraId="69D5E23B">
      <w:pPr>
        <w:spacing w:line="276" w:lineRule="auto"/>
      </w:pPr>
      <w:r>
        <w:t>Nonostante la sua semplicità, VERA richiede competenze in sicurezza informatica per un utilizzo ottimale e un'interpretazione accurata dei risultati. Questo equilibrio tra facilità d'uso e profondità di analisi rende VERA uno strumento efficace per le organizzazioni che cercano un approccio pratico ma completo alla valutazione del rischio informatico.</w:t>
      </w:r>
    </w:p>
    <w:p w14:paraId="7B9A0D23">
      <w:pPr>
        <w:spacing w:before="0" w:after="160" w:line="259" w:lineRule="auto"/>
        <w:ind w:right="0" w:firstLine="0"/>
        <w:jc w:val="left"/>
      </w:pPr>
      <w:r>
        <w:br w:type="page"/>
      </w:r>
    </w:p>
    <w:p w14:paraId="3D9945EB">
      <w:pPr>
        <w:pStyle w:val="3"/>
        <w:shd w:val="clear" w:color="auto" w:fill="D9E2F3"/>
        <w:spacing w:line="240" w:lineRule="auto"/>
      </w:pPr>
      <w:bookmarkStart w:id="45" w:name="_Toc211869170"/>
      <w:r>
        <w:t>Calcolo del rischio privacy</w:t>
      </w:r>
      <w:bookmarkEnd w:id="45"/>
    </w:p>
    <w:p w14:paraId="39A2FBE9">
      <w:pPr>
        <w:spacing w:before="0" w:after="160" w:line="259" w:lineRule="auto"/>
        <w:ind w:right="0" w:firstLine="0"/>
        <w:jc w:val="left"/>
      </w:pPr>
    </w:p>
    <w:tbl>
      <w:tblPr>
        <w:tblStyle w:val="7"/>
        <w:tblW w:w="5000" w:type="pct"/>
        <w:tblInd w:w="0" w:type="dxa"/>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Layout w:type="autofit"/>
        <w:tblCellMar>
          <w:top w:w="0" w:type="dxa"/>
          <w:left w:w="70" w:type="dxa"/>
          <w:bottom w:w="0" w:type="dxa"/>
          <w:right w:w="70" w:type="dxa"/>
        </w:tblCellMar>
      </w:tblPr>
      <w:tblGrid>
        <w:gridCol w:w="820"/>
        <w:gridCol w:w="1519"/>
        <w:gridCol w:w="1701"/>
        <w:gridCol w:w="1803"/>
        <w:gridCol w:w="1397"/>
        <w:gridCol w:w="1188"/>
        <w:gridCol w:w="808"/>
        <w:gridCol w:w="952"/>
        <w:gridCol w:w="1318"/>
        <w:gridCol w:w="1016"/>
        <w:gridCol w:w="1095"/>
        <w:gridCol w:w="2"/>
        <w:gridCol w:w="1091"/>
      </w:tblGrid>
      <w:tr w14:paraId="0E5BE6E6">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255" w:hRule="atLeast"/>
          <w:tblHeader/>
        </w:trPr>
        <w:tc>
          <w:tcPr>
            <w:tcW w:w="811" w:type="dxa"/>
            <w:vMerge w:val="restart"/>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538135" w:themeFill="accent6" w:themeFillShade="BF"/>
            <w:vAlign w:val="center"/>
          </w:tcPr>
          <w:p w14:paraId="7141747F">
            <w:pPr>
              <w:spacing w:before="0" w:after="0" w:line="240" w:lineRule="auto"/>
              <w:ind w:right="0" w:firstLine="0"/>
              <w:jc w:val="center"/>
              <w:rPr>
                <w:rFonts w:ascii="Times New Roman" w:hAnsi="Times New Roman" w:eastAsia="Times New Roman" w:cs="Times New Roman"/>
                <w:color w:val="00000A"/>
                <w:kern w:val="0"/>
                <w:sz w:val="20"/>
                <w:szCs w:val="20"/>
                <w14:ligatures w14:val="none"/>
              </w:rPr>
            </w:pPr>
            <w:r>
              <w:rPr>
                <w:rFonts w:ascii="Calibri" w:hAnsi="Calibri" w:cs="Calibri"/>
                <w:b/>
                <w:bCs/>
                <w:color w:val="FFFFFF"/>
                <w:sz w:val="22"/>
                <w:szCs w:val="22"/>
              </w:rPr>
              <w:t>Ambito</w:t>
            </w:r>
          </w:p>
        </w:tc>
        <w:tc>
          <w:tcPr>
            <w:tcW w:w="1502" w:type="dxa"/>
            <w:vMerge w:val="restart"/>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538135" w:themeFill="accent6" w:themeFillShade="BF"/>
            <w:vAlign w:val="center"/>
          </w:tcPr>
          <w:p w14:paraId="0C9CCC7E">
            <w:pPr>
              <w:spacing w:before="0" w:after="0" w:line="240" w:lineRule="auto"/>
              <w:ind w:right="0" w:firstLine="0"/>
              <w:jc w:val="center"/>
              <w:rPr>
                <w:rFonts w:ascii="Times New Roman" w:hAnsi="Times New Roman" w:eastAsia="Times New Roman" w:cs="Times New Roman"/>
                <w:color w:val="00000A"/>
                <w:kern w:val="0"/>
                <w:sz w:val="20"/>
                <w:szCs w:val="20"/>
                <w14:ligatures w14:val="none"/>
              </w:rPr>
            </w:pPr>
            <w:r>
              <w:rPr>
                <w:rFonts w:ascii="Calibri" w:hAnsi="Calibri" w:cs="Calibri"/>
                <w:b/>
                <w:bCs/>
                <w:color w:val="FFFFFF"/>
                <w:sz w:val="22"/>
                <w:szCs w:val="22"/>
              </w:rPr>
              <w:t>Categoria</w:t>
            </w:r>
          </w:p>
        </w:tc>
        <w:tc>
          <w:tcPr>
            <w:tcW w:w="1681" w:type="dxa"/>
            <w:vMerge w:val="restart"/>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538135" w:themeFill="accent6" w:themeFillShade="BF"/>
            <w:vAlign w:val="center"/>
          </w:tcPr>
          <w:p w14:paraId="44B0AFD0">
            <w:pPr>
              <w:spacing w:before="0" w:after="0" w:line="240" w:lineRule="auto"/>
              <w:ind w:right="0" w:firstLine="0"/>
              <w:jc w:val="center"/>
              <w:rPr>
                <w:rFonts w:ascii="Times New Roman" w:hAnsi="Times New Roman" w:eastAsia="Times New Roman" w:cs="Times New Roman"/>
                <w:color w:val="00000A"/>
                <w:kern w:val="0"/>
                <w:sz w:val="20"/>
                <w:szCs w:val="20"/>
                <w14:ligatures w14:val="none"/>
              </w:rPr>
            </w:pPr>
            <w:r>
              <w:rPr>
                <w:rFonts w:ascii="Calibri" w:hAnsi="Calibri" w:cs="Calibri"/>
                <w:b/>
                <w:bCs/>
                <w:color w:val="FFFFFF"/>
                <w:sz w:val="22"/>
                <w:szCs w:val="22"/>
              </w:rPr>
              <w:t>Minaccia</w:t>
            </w:r>
          </w:p>
        </w:tc>
        <w:tc>
          <w:tcPr>
            <w:tcW w:w="1794" w:type="dxa"/>
            <w:vMerge w:val="restart"/>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538135" w:themeFill="accent6" w:themeFillShade="BF"/>
            <w:vAlign w:val="center"/>
          </w:tcPr>
          <w:p w14:paraId="37E011EF">
            <w:pPr>
              <w:spacing w:before="0" w:after="0" w:line="240" w:lineRule="auto"/>
              <w:ind w:right="0" w:firstLine="0"/>
              <w:jc w:val="center"/>
              <w:rPr>
                <w:rFonts w:ascii="Times New Roman" w:hAnsi="Times New Roman" w:eastAsia="Times New Roman" w:cs="Times New Roman"/>
                <w:color w:val="00000A"/>
                <w:kern w:val="0"/>
                <w:sz w:val="20"/>
                <w:szCs w:val="20"/>
                <w14:ligatures w14:val="none"/>
              </w:rPr>
            </w:pPr>
            <w:r>
              <w:rPr>
                <w:rFonts w:ascii="Calibri" w:hAnsi="Calibri" w:cs="Calibri"/>
                <w:b/>
                <w:bCs/>
                <w:color w:val="FFFFFF"/>
                <w:sz w:val="22"/>
                <w:szCs w:val="22"/>
              </w:rPr>
              <w:t>Veros.</w:t>
            </w:r>
          </w:p>
        </w:tc>
        <w:tc>
          <w:tcPr>
            <w:tcW w:w="1390" w:type="dxa"/>
            <w:vMerge w:val="restart"/>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538135" w:themeFill="accent6" w:themeFillShade="BF"/>
            <w:vAlign w:val="center"/>
          </w:tcPr>
          <w:p w14:paraId="0BBBEF51">
            <w:pPr>
              <w:spacing w:before="0" w:after="0" w:line="240" w:lineRule="auto"/>
              <w:ind w:right="0" w:firstLine="0"/>
              <w:jc w:val="center"/>
              <w:rPr>
                <w:rFonts w:ascii="Times New Roman" w:hAnsi="Times New Roman" w:eastAsia="Times New Roman" w:cs="Times New Roman"/>
                <w:color w:val="00000A"/>
                <w:kern w:val="0"/>
                <w:sz w:val="20"/>
                <w:szCs w:val="20"/>
                <w14:ligatures w14:val="none"/>
              </w:rPr>
            </w:pPr>
            <w:r>
              <w:rPr>
                <w:rFonts w:ascii="Calibri" w:hAnsi="Calibri" w:cs="Calibri"/>
                <w:b/>
                <w:bCs/>
                <w:color w:val="FFFFFF"/>
                <w:sz w:val="22"/>
                <w:szCs w:val="22"/>
              </w:rPr>
              <w:t>Parametri RID</w:t>
            </w:r>
          </w:p>
        </w:tc>
        <w:tc>
          <w:tcPr>
            <w:tcW w:w="6305" w:type="dxa"/>
            <w:gridSpan w:val="7"/>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25937045">
            <w:pPr>
              <w:spacing w:before="0" w:after="0" w:line="240" w:lineRule="auto"/>
              <w:ind w:right="0" w:firstLine="0"/>
              <w:jc w:val="center"/>
              <w:rPr>
                <w:rFonts w:ascii="Calibri" w:hAnsi="Calibri" w:eastAsia="Times New Roman" w:cs="Calibri"/>
                <w:b/>
                <w:bCs/>
                <w:color w:val="FFFFFF"/>
                <w:kern w:val="0"/>
                <w:sz w:val="22"/>
                <w:szCs w:val="22"/>
                <w14:ligatures w14:val="none"/>
              </w:rPr>
            </w:pPr>
            <w:r>
              <w:rPr>
                <w:rFonts w:ascii="Calibri" w:hAnsi="Calibri" w:eastAsia="Times New Roman" w:cs="Calibri"/>
                <w:b/>
                <w:bCs/>
                <w:color w:val="FFFFFF"/>
                <w:kern w:val="0"/>
                <w:sz w:val="22"/>
                <w:szCs w:val="22"/>
                <w14:ligatures w14:val="none"/>
              </w:rPr>
              <w:t>Rischio Privacy</w:t>
            </w:r>
          </w:p>
        </w:tc>
        <w:tc>
          <w:tcPr>
            <w:tcW w:w="1086" w:type="dxa"/>
            <w:vMerge w:val="restart"/>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538135" w:themeFill="accent6" w:themeFillShade="BF"/>
            <w:vAlign w:val="center"/>
          </w:tcPr>
          <w:p w14:paraId="761880A6">
            <w:pPr>
              <w:spacing w:before="0" w:after="0" w:line="240" w:lineRule="auto"/>
              <w:ind w:right="0" w:firstLine="0"/>
              <w:jc w:val="center"/>
              <w:rPr>
                <w:rFonts w:ascii="Calibri" w:hAnsi="Calibri" w:eastAsia="Times New Roman" w:cs="Calibri"/>
                <w:b/>
                <w:bCs/>
                <w:color w:val="FFFFFF"/>
                <w:kern w:val="0"/>
                <w:sz w:val="22"/>
                <w:szCs w:val="22"/>
                <w14:ligatures w14:val="none"/>
              </w:rPr>
            </w:pPr>
            <w:r>
              <w:rPr>
                <w:rFonts w:ascii="Calibri" w:hAnsi="Calibri" w:eastAsia="Times New Roman" w:cs="Calibri"/>
                <w:b/>
                <w:bCs/>
                <w:color w:val="FFFFFF"/>
                <w:kern w:val="0"/>
                <w:sz w:val="22"/>
                <w:szCs w:val="22"/>
                <w14:ligatures w14:val="none"/>
              </w:rPr>
              <w:t>Liv. rischio</w:t>
            </w:r>
          </w:p>
        </w:tc>
      </w:tr>
      <w:tr w14:paraId="1A21395A">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900" w:hRule="atLeast"/>
          <w:tblHeader/>
        </w:trPr>
        <w:tc>
          <w:tcPr>
            <w:tcW w:w="811" w:type="dxa"/>
            <w:vMerge w:val="continue"/>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538135" w:themeFill="accent6" w:themeFillShade="BF"/>
            <w:vAlign w:val="center"/>
          </w:tcPr>
          <w:p w14:paraId="2BF151CE">
            <w:pPr>
              <w:spacing w:before="0" w:after="0" w:line="240" w:lineRule="auto"/>
              <w:ind w:right="0" w:firstLine="0"/>
              <w:jc w:val="center"/>
              <w:rPr>
                <w:rFonts w:ascii="Calibri" w:hAnsi="Calibri" w:eastAsia="Times New Roman" w:cs="Calibri"/>
                <w:b/>
                <w:bCs/>
                <w:color w:val="FFFFFF"/>
                <w:kern w:val="0"/>
                <w:sz w:val="22"/>
                <w:szCs w:val="22"/>
                <w14:ligatures w14:val="none"/>
              </w:rPr>
            </w:pPr>
          </w:p>
        </w:tc>
        <w:tc>
          <w:tcPr>
            <w:tcW w:w="1502" w:type="dxa"/>
            <w:vMerge w:val="continue"/>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538135" w:themeFill="accent6" w:themeFillShade="BF"/>
            <w:vAlign w:val="center"/>
          </w:tcPr>
          <w:p w14:paraId="6E6E9B1D">
            <w:pPr>
              <w:spacing w:before="0" w:after="0" w:line="240" w:lineRule="auto"/>
              <w:ind w:right="0" w:firstLine="0"/>
              <w:jc w:val="center"/>
              <w:rPr>
                <w:rFonts w:ascii="Calibri" w:hAnsi="Calibri" w:eastAsia="Times New Roman" w:cs="Calibri"/>
                <w:b/>
                <w:bCs/>
                <w:color w:val="FFFFFF"/>
                <w:kern w:val="0"/>
                <w:sz w:val="22"/>
                <w:szCs w:val="22"/>
                <w14:ligatures w14:val="none"/>
              </w:rPr>
            </w:pPr>
          </w:p>
        </w:tc>
        <w:tc>
          <w:tcPr>
            <w:tcW w:w="1681" w:type="dxa"/>
            <w:vMerge w:val="continue"/>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538135" w:themeFill="accent6" w:themeFillShade="BF"/>
            <w:vAlign w:val="center"/>
          </w:tcPr>
          <w:p w14:paraId="3D60DA99">
            <w:pPr>
              <w:spacing w:before="0" w:after="0" w:line="240" w:lineRule="auto"/>
              <w:ind w:right="0" w:firstLine="0"/>
              <w:jc w:val="center"/>
              <w:rPr>
                <w:rFonts w:ascii="Calibri" w:hAnsi="Calibri" w:eastAsia="Times New Roman" w:cs="Calibri"/>
                <w:b/>
                <w:bCs/>
                <w:color w:val="FFFFFF"/>
                <w:kern w:val="0"/>
                <w:sz w:val="22"/>
                <w:szCs w:val="22"/>
                <w14:ligatures w14:val="none"/>
              </w:rPr>
            </w:pPr>
          </w:p>
        </w:tc>
        <w:tc>
          <w:tcPr>
            <w:tcW w:w="1794" w:type="dxa"/>
            <w:vMerge w:val="continue"/>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538135" w:themeFill="accent6" w:themeFillShade="BF"/>
            <w:vAlign w:val="center"/>
          </w:tcPr>
          <w:p w14:paraId="3459F1F8">
            <w:pPr>
              <w:spacing w:before="0" w:after="0" w:line="240" w:lineRule="auto"/>
              <w:ind w:right="0" w:firstLine="0"/>
              <w:jc w:val="center"/>
              <w:rPr>
                <w:rFonts w:ascii="Calibri" w:hAnsi="Calibri" w:eastAsia="Times New Roman" w:cs="Calibri"/>
                <w:b/>
                <w:bCs/>
                <w:color w:val="FFFFFF"/>
                <w:kern w:val="0"/>
                <w:sz w:val="22"/>
                <w:szCs w:val="22"/>
                <w14:ligatures w14:val="none"/>
              </w:rPr>
            </w:pPr>
          </w:p>
        </w:tc>
        <w:tc>
          <w:tcPr>
            <w:tcW w:w="1390" w:type="dxa"/>
            <w:vMerge w:val="continue"/>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538135" w:themeFill="accent6" w:themeFillShade="BF"/>
            <w:vAlign w:val="center"/>
          </w:tcPr>
          <w:p w14:paraId="6279C50A">
            <w:pPr>
              <w:spacing w:before="0" w:after="0" w:line="240" w:lineRule="auto"/>
              <w:ind w:right="0" w:firstLine="0"/>
              <w:jc w:val="center"/>
              <w:rPr>
                <w:rFonts w:ascii="Calibri" w:hAnsi="Calibri" w:eastAsia="Times New Roman" w:cs="Calibri"/>
                <w:b/>
                <w:bCs/>
                <w:color w:val="FFFFFF"/>
                <w:kern w:val="0"/>
                <w:sz w:val="22"/>
                <w:szCs w:val="22"/>
                <w14:ligatures w14:val="none"/>
              </w:rPr>
            </w:pP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1CD522AA">
            <w:pPr>
              <w:spacing w:before="0" w:after="0" w:line="240" w:lineRule="auto"/>
              <w:ind w:right="0" w:firstLine="0"/>
              <w:jc w:val="center"/>
              <w:rPr>
                <w:rFonts w:ascii="Calibri" w:hAnsi="Calibri" w:eastAsia="Times New Roman" w:cs="Calibri"/>
                <w:b/>
                <w:bCs/>
                <w:color w:val="FFFFFF"/>
                <w:kern w:val="0"/>
                <w:sz w:val="22"/>
                <w:szCs w:val="22"/>
                <w14:ligatures w14:val="none"/>
              </w:rPr>
            </w:pPr>
            <w:r>
              <w:rPr>
                <w:rFonts w:ascii="Calibri" w:hAnsi="Calibri" w:eastAsia="Times New Roman" w:cs="Calibri"/>
                <w:b/>
                <w:bCs/>
                <w:color w:val="FFFFFF"/>
                <w:kern w:val="0"/>
                <w:sz w:val="22"/>
                <w:szCs w:val="22"/>
                <w14:ligatures w14:val="none"/>
              </w:rPr>
              <w:t>Distruzione non aut.</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34DE8008">
            <w:pPr>
              <w:spacing w:before="0" w:after="0" w:line="240" w:lineRule="auto"/>
              <w:ind w:right="0" w:firstLine="0"/>
              <w:jc w:val="center"/>
              <w:rPr>
                <w:rFonts w:ascii="Calibri" w:hAnsi="Calibri" w:eastAsia="Times New Roman" w:cs="Calibri"/>
                <w:b/>
                <w:bCs/>
                <w:color w:val="FFFFFF"/>
                <w:kern w:val="0"/>
                <w:sz w:val="22"/>
                <w:szCs w:val="22"/>
                <w14:ligatures w14:val="none"/>
              </w:rPr>
            </w:pPr>
            <w:r>
              <w:rPr>
                <w:rFonts w:ascii="Calibri" w:hAnsi="Calibri" w:eastAsia="Times New Roman" w:cs="Calibri"/>
                <w:b/>
                <w:bCs/>
                <w:color w:val="FFFFFF"/>
                <w:kern w:val="0"/>
                <w:sz w:val="22"/>
                <w:szCs w:val="22"/>
                <w14:ligatures w14:val="none"/>
              </w:rPr>
              <w:t>Perdita non aut.</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6CE92327">
            <w:pPr>
              <w:spacing w:before="0" w:after="0" w:line="240" w:lineRule="auto"/>
              <w:ind w:right="0" w:firstLine="0"/>
              <w:jc w:val="center"/>
              <w:rPr>
                <w:rFonts w:ascii="Calibri" w:hAnsi="Calibri" w:eastAsia="Times New Roman" w:cs="Calibri"/>
                <w:b/>
                <w:bCs/>
                <w:color w:val="FFFFFF"/>
                <w:kern w:val="0"/>
                <w:sz w:val="22"/>
                <w:szCs w:val="22"/>
                <w14:ligatures w14:val="none"/>
              </w:rPr>
            </w:pPr>
            <w:r>
              <w:rPr>
                <w:rFonts w:ascii="Calibri" w:hAnsi="Calibri" w:eastAsia="Times New Roman" w:cs="Calibri"/>
                <w:b/>
                <w:bCs/>
                <w:color w:val="FFFFFF"/>
                <w:kern w:val="0"/>
                <w:sz w:val="22"/>
                <w:szCs w:val="22"/>
                <w14:ligatures w14:val="none"/>
              </w:rPr>
              <w:t>Modifica non aut.</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14998CAC">
            <w:pPr>
              <w:spacing w:before="0" w:after="0" w:line="240" w:lineRule="auto"/>
              <w:ind w:right="0" w:firstLine="0"/>
              <w:jc w:val="center"/>
              <w:rPr>
                <w:rFonts w:ascii="Calibri" w:hAnsi="Calibri" w:eastAsia="Times New Roman" w:cs="Calibri"/>
                <w:b/>
                <w:bCs/>
                <w:color w:val="FFFFFF"/>
                <w:kern w:val="0"/>
                <w:sz w:val="22"/>
                <w:szCs w:val="22"/>
                <w14:ligatures w14:val="none"/>
              </w:rPr>
            </w:pPr>
            <w:r>
              <w:rPr>
                <w:rFonts w:ascii="Calibri" w:hAnsi="Calibri" w:eastAsia="Times New Roman" w:cs="Calibri"/>
                <w:b/>
                <w:bCs/>
                <w:color w:val="FFFFFF"/>
                <w:kern w:val="0"/>
                <w:sz w:val="22"/>
                <w:szCs w:val="22"/>
                <w14:ligatures w14:val="none"/>
              </w:rPr>
              <w:t>Divulgazione non aut.</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5EB3803B">
            <w:pPr>
              <w:spacing w:before="0" w:after="0" w:line="240" w:lineRule="auto"/>
              <w:ind w:right="0" w:firstLine="0"/>
              <w:jc w:val="center"/>
              <w:rPr>
                <w:rFonts w:ascii="Calibri" w:hAnsi="Calibri" w:eastAsia="Times New Roman" w:cs="Calibri"/>
                <w:b/>
                <w:bCs/>
                <w:color w:val="FFFFFF"/>
                <w:kern w:val="0"/>
                <w:sz w:val="22"/>
                <w:szCs w:val="22"/>
                <w14:ligatures w14:val="none"/>
              </w:rPr>
            </w:pPr>
            <w:r>
              <w:rPr>
                <w:rFonts w:ascii="Calibri" w:hAnsi="Calibri" w:eastAsia="Times New Roman" w:cs="Calibri"/>
                <w:b/>
                <w:bCs/>
                <w:color w:val="FFFFFF"/>
                <w:kern w:val="0"/>
                <w:sz w:val="22"/>
                <w:szCs w:val="22"/>
                <w14:ligatures w14:val="none"/>
              </w:rPr>
              <w:t>Accesso n/a a dati trasmessi</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7E620A38">
            <w:pPr>
              <w:spacing w:before="0" w:after="0" w:line="240" w:lineRule="auto"/>
              <w:ind w:right="0" w:firstLine="0"/>
              <w:jc w:val="center"/>
              <w:rPr>
                <w:rFonts w:ascii="Calibri" w:hAnsi="Calibri" w:eastAsia="Times New Roman" w:cs="Calibri"/>
                <w:b/>
                <w:bCs/>
                <w:color w:val="FFFFFF"/>
                <w:kern w:val="0"/>
                <w:sz w:val="22"/>
                <w:szCs w:val="22"/>
                <w14:ligatures w14:val="none"/>
              </w:rPr>
            </w:pPr>
            <w:r>
              <w:rPr>
                <w:rFonts w:ascii="Calibri" w:hAnsi="Calibri" w:eastAsia="Times New Roman" w:cs="Calibri"/>
                <w:b/>
                <w:bCs/>
                <w:color w:val="FFFFFF"/>
                <w:kern w:val="0"/>
                <w:sz w:val="22"/>
                <w:szCs w:val="22"/>
                <w14:ligatures w14:val="none"/>
              </w:rPr>
              <w:t>Accesso n/a a dati conservati</w:t>
            </w:r>
          </w:p>
        </w:tc>
        <w:tc>
          <w:tcPr>
            <w:tcW w:w="1088" w:type="dxa"/>
            <w:gridSpan w:val="2"/>
            <w:vMerge w:val="continue"/>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538135" w:themeFill="accent6" w:themeFillShade="BF"/>
            <w:vAlign w:val="center"/>
          </w:tcPr>
          <w:p w14:paraId="25003F1E">
            <w:pPr>
              <w:spacing w:before="0" w:after="0" w:line="240" w:lineRule="auto"/>
              <w:ind w:right="0" w:firstLine="0"/>
              <w:jc w:val="center"/>
              <w:rPr>
                <w:rFonts w:ascii="Calibri" w:hAnsi="Calibri" w:eastAsia="Times New Roman" w:cs="Calibri"/>
                <w:b/>
                <w:bCs/>
                <w:color w:val="FFFFFF"/>
                <w:kern w:val="0"/>
                <w:sz w:val="22"/>
                <w:szCs w:val="22"/>
                <w14:ligatures w14:val="none"/>
              </w:rPr>
            </w:pPr>
          </w:p>
        </w:tc>
      </w:tr>
      <w:tr w14:paraId="4B176533">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255"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3BE75360">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4A409029">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Danni fisici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61543708">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Incendio</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40619AA">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1CA575BB">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ID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BF2E5F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7F04227">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AD63190">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56EC24B">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ADAB1FB">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29CEA1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tcPr>
          <w:p w14:paraId="0BA35AA0">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3,00</w:t>
            </w:r>
          </w:p>
        </w:tc>
      </w:tr>
      <w:tr w14:paraId="0C4A20E1">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255"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3957911F">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3164FBDE">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Danni fisici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737F62F4">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Allagamento</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8D5FCF9">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344B9EA4">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257D305">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9F65EA5">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7EF029C">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8D2F4DA">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2AD3C79">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72AA04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tcPr>
          <w:p w14:paraId="6BC31564">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3,00</w:t>
            </w:r>
          </w:p>
        </w:tc>
      </w:tr>
      <w:tr w14:paraId="1ADBC359">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0CE23B42">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0EE443E1">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Danni fisici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5C3508DE">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Polvere, corrosione, congelamento.</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99394DC">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5BD6D023">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FE4C3D9">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BA40AB5">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5E8344F">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F72B887">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CB8B0D9">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3A2082C">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tcPr>
          <w:p w14:paraId="2B712395">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3,00</w:t>
            </w:r>
          </w:p>
        </w:tc>
      </w:tr>
      <w:tr w14:paraId="28207AD4">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1020"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76972873">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1F877E69">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Danni fisici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767D94DC">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Distruzione di strumentazione da parte di malintenzionati o per errore (disattenzione)</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3BF4DDE">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2</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2DAC1C4E">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2EC0DDC">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570BB1E">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AF04B5B">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28F2C81">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A1557A3">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AEBAE47">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tcPr>
          <w:p w14:paraId="6C5FAA97">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6,00</w:t>
            </w:r>
          </w:p>
        </w:tc>
      </w:tr>
      <w:tr w14:paraId="16A5A2E7">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255"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7570FCF5">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5357C712">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Danni fisici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3506CD0B">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Attacchi (bombe, terroristi)</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A7D903A">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61C25943">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90B593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CBAB7D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AEACC3C">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0818C12">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C312243">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2EB81D2">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tcPr>
          <w:p w14:paraId="2EBD8A98">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3,00</w:t>
            </w:r>
          </w:p>
        </w:tc>
      </w:tr>
      <w:tr w14:paraId="0C25AA8F">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2AC8B454">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284BD572">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Eventi naturali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781D0A6E">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Fenomeni climatici (uragani, nevicate)</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FA74A2F">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5E3CD95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6302905">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636C1FA">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C74E655">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AF17717">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662951A">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83B93AA">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tcPr>
          <w:p w14:paraId="5E330781">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3,00</w:t>
            </w:r>
          </w:p>
        </w:tc>
      </w:tr>
      <w:tr w14:paraId="56578510">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40307BCB">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05CAA607">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Eventi naturali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5E21256C">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Terremoti, eruzioni vulcaniche</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269A4A2">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12ECD1C4">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4E83B28">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2B34358">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847863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567A37F">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ADDC4E4">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2C5BA5C">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tcPr>
          <w:p w14:paraId="73254BF3">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3,00</w:t>
            </w:r>
          </w:p>
        </w:tc>
      </w:tr>
      <w:tr w14:paraId="147F5429">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229569D6">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5D8956CC">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Eventi naturali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1251E998">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Fulmini e scariche atmosferiche</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6A8678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2</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2752A37A">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35C2545">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425031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D4B44AB">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2B3D52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C07BAE5">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1D2D468">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tcPr>
          <w:p w14:paraId="2A8EBB0C">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6,00</w:t>
            </w:r>
          </w:p>
        </w:tc>
      </w:tr>
      <w:tr w14:paraId="45AA9EB9">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6974B992">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4DA7D0D2">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Perdita di servizi essenziali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76E32ED6">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Guasto aria condizionata o sistemi di raffreddamento</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83DB8A8">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2</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4352334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64178C3">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54546D1">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EF4B249">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87FF88A">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F32460A">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C6DB52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tcPr>
          <w:p w14:paraId="5BBE856F">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6,00</w:t>
            </w:r>
          </w:p>
        </w:tc>
      </w:tr>
      <w:tr w14:paraId="23C6F1CC">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74D93EA3">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6463FC56">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Perdita di servizi essenziali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08A217E9">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Perdita di energia (o sbalzi di tensione)</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33740D5">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2</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4CF0C312">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15BB65B">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8AFE3DB">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517870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8897D03">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3082978">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B48A055">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tcPr>
          <w:p w14:paraId="173766C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6,00</w:t>
            </w:r>
          </w:p>
        </w:tc>
      </w:tr>
      <w:tr w14:paraId="3AD49587">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09B41709">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7E0B62F2">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Perdita di servizi essenziali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7E09E392">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Malfunzionamento nei componenti di rete</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AC01A8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2</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72A2F8F8">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RID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F923DD1">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A12EA32">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DD5CD8A">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BB0BB31">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A65AFAE">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8194D3A">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FFF66"/>
          </w:tcPr>
          <w:p w14:paraId="7E5689CE">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24,00</w:t>
            </w:r>
          </w:p>
        </w:tc>
      </w:tr>
      <w:tr w14:paraId="721BC6A5">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17CACF50">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2AB90535">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Perdita di servizi essenziali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2DBE8E2E">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Errori di trasmissione (incluso il misrouting)</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333DB3F">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4758264A">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ID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12F1019">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382C08F">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FBC33CC">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F276E79">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795F44F">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DEE2785">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tcPr>
          <w:p w14:paraId="53B3835E">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3,00</w:t>
            </w:r>
          </w:p>
        </w:tc>
      </w:tr>
      <w:tr w14:paraId="6FB22EE3">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1020"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1ABDBACC">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198CEAF7">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Perdita di servizi essenziali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52C2158B">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Interruzione nei collegamenti di rete (inclusi danni alle linee di TLC)</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217CE58">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2</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6F251A83">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96E38DF">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E7D6857">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32E8BAF">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5DC807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CB43BB3">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79039CB">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tcPr>
          <w:p w14:paraId="152C85F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6,00</w:t>
            </w:r>
          </w:p>
        </w:tc>
      </w:tr>
      <w:tr w14:paraId="479395EF">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75EC11C1">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4D22487E">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Perdita di servizi essenziali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02ECD928">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Eccesso di traffico sulla rete</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AC9692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2</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6A299D67">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3737F2A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70540E5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681E3EC8">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479EF85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3CF91CDC">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0FD1FAFA">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FBFBF"/>
          </w:tcPr>
          <w:p w14:paraId="4642079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r>
      <w:tr w14:paraId="08B65B3F">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2295"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18222FF5">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4DFF383E">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Perdita di servizi essenziali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3F2521B5">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Interruzione di servizi erogati riconducibili ai fornitori esterni  (inclusi ISP, CSP, DR site,  supporto tecnico specialistico, esternalizzazione attività). Per esempio a causa di fallimento, chiusura, incidenti.</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0CC9E8B">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626687B9">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32C898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031CE3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208B38C">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83EE93F">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071FBAE">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C44173F">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tcPr>
          <w:p w14:paraId="50E62B37">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3,00</w:t>
            </w:r>
          </w:p>
        </w:tc>
      </w:tr>
      <w:tr w14:paraId="2BC83A14">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765"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50161016">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3DDD3DAD">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Perdita di servizi essenziali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6C53841A">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Indisponibilità di personale (malattie, sciopero, eccetera)</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9596A6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2C38B27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65B4668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16FE3F5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1454E4DE">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788A1B42">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52423A70">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40D1F597">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FBFBF"/>
          </w:tcPr>
          <w:p w14:paraId="5DA01D1F">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r>
      <w:tr w14:paraId="251ABCBD">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255"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4082F93C">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1DEF166D">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Disturbi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2675DBF2">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Disturbi elettromagnetici</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0D4E0E4">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39E90DB2">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ID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94C7A4E">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BE23B5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BD6F79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EEDD92E">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4988D7A">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8F1BE9F">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tcPr>
          <w:p w14:paraId="1DF6DF53">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3,00</w:t>
            </w:r>
          </w:p>
        </w:tc>
      </w:tr>
      <w:tr w14:paraId="7DE4614B">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5DEE6173">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4B59BE3F">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Compromissione di informazioni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360D5B20">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Intercettazione (inclusa analisi del traffico)</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EEBB3F8">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04DCE30F">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R</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6A3E7C3">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3950F7B">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67481DE">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F2F3A6F">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43EFA87">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EA71018">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tcPr>
          <w:p w14:paraId="6E3BFC5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12,00</w:t>
            </w:r>
          </w:p>
        </w:tc>
      </w:tr>
      <w:tr w14:paraId="7B0E6C04">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5D60BFBD">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2E103A95">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Compromissione di informazioni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040783D3">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Furto di documenti o supporti di memorizzazione</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07E4137">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6932A167">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R</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7556232">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46323E8">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5DE320C">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470D75E">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063E2DC">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132B52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tcPr>
          <w:p w14:paraId="4457EDBF">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12,00</w:t>
            </w:r>
          </w:p>
        </w:tc>
      </w:tr>
      <w:tr w14:paraId="381C14F6">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5C8C8FA1">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0C22C6DF">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Compromissione di informazioni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0894DCCB">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Furto di apparati o componenti</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8B8CF73">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2</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1049B7DE">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RD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D88B10A">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B12C957">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9112C34">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921C07C">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5EABDC1">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7284CBF">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FFF66"/>
          </w:tcPr>
          <w:p w14:paraId="5CA221F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24,00</w:t>
            </w:r>
          </w:p>
        </w:tc>
      </w:tr>
      <w:tr w14:paraId="09A209A6">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1020"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7354EFF2">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11EE4918">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Compromissione di informazioni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73F54103">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Recupero di informazioni da media (principalmente memorie di massa) dismessi.</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D063DC2">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29C19234">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R</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5FD2DB5">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A67F13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14DD0E5">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70C3BD4">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786E3D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B6B1471">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tcPr>
          <w:p w14:paraId="3E545372">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12,00</w:t>
            </w:r>
          </w:p>
        </w:tc>
      </w:tr>
      <w:tr w14:paraId="707517B4">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765"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1F6D0CF7">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62B0C442">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Compromissione di informazioni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20B76E32">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Rivelazione di informazioni (da parte del personale o fornitori)</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DBCCDF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2</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4DDEAC6F">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R</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F9B7C37">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9FD29E7">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9F692AE">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3C450D0">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B65C430">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DB9DEB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FFF66"/>
          </w:tcPr>
          <w:p w14:paraId="1F9DB830">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24,00</w:t>
            </w:r>
          </w:p>
        </w:tc>
      </w:tr>
      <w:tr w14:paraId="10C3B27A">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6AAB524A">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74468D5B">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Compromissione di informazioni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382088A5">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Ricezione dati da origini non affidabili</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BDFA3EA">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5B198FB1">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I</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29DA3451">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49261647">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57A50FDB">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4E1A5084">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1B6613B8">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08150601">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FBFBF"/>
          </w:tcPr>
          <w:p w14:paraId="7D3A704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r>
      <w:tr w14:paraId="69B14BF1">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2F0BB6DA">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5F4C0EAC">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Compromissione di informazioni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4D24E627">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Infiltrazione nelle comunicazioni</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96C840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29E8A2E5">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RID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6F22F2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3955624">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C4BAEFC">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24D140C">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4DBBD19">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DD936D7">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tcPr>
          <w:p w14:paraId="34125490">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12,00</w:t>
            </w:r>
          </w:p>
        </w:tc>
      </w:tr>
      <w:tr w14:paraId="458E48EB">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08B5C6AD">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6FE0FAFB">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Compromissione di informazioni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743B6525">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Ripudio dei messaggi</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DA801E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4AB3D891">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I</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176319E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1404E06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4BA7C31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012BEC9A">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34951083">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6FFDAFE9">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FBFBF"/>
          </w:tcPr>
          <w:p w14:paraId="2156E3C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r>
      <w:tr w14:paraId="33B4EA83">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2461F71F">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7E660313">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Compromissione di informazioni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5E5ED9EA">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Accesso non autorizzato alle informazioni</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5A11853">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2</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2A7758D8">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RID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4D6EC4C">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2734B8B">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5BC3E83">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DC2A54B">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4815DB3">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234BE10">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FFF66"/>
          </w:tcPr>
          <w:p w14:paraId="6762281E">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24,00</w:t>
            </w:r>
          </w:p>
        </w:tc>
      </w:tr>
      <w:tr w14:paraId="405ACC48">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45A7BEDF">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3BC71275">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Problemi tecnici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0F96C4FD">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Fault o malfunzionamento della strumentazione IT</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679080C">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2</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13B5A064">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ID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37887A3">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65238AC">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541D602">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D99A840">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3D862F9">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1129E49">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tcPr>
          <w:p w14:paraId="59C4D0A2">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6,00</w:t>
            </w:r>
          </w:p>
        </w:tc>
      </w:tr>
      <w:tr w14:paraId="0220D455">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255"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119D6A2E">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771241E4">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Problemi tecnici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698009D3">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Saturazione dei sistemi IT</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505EF32">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2</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2D8530B5">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ID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168AF804">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075D9E27">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1AC92BCE">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08B87FF2">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7A61E8D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762A91F4">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FBFBF"/>
          </w:tcPr>
          <w:p w14:paraId="4FA2BDC4">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r>
      <w:tr w14:paraId="28C87A98">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765"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041C01EF">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5F5A00C7">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Problemi tecnici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69E519D5">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Malfunzionamenti software applicativi sviluppati per i clienti</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489CD1F">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2A8FB4A7">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RID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682F938">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DA5666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8B8C7BB">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91D09A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31853B7">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09BCEB8">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tcPr>
          <w:p w14:paraId="51FE54EA">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12,00</w:t>
            </w:r>
          </w:p>
        </w:tc>
      </w:tr>
      <w:tr w14:paraId="2AC4C934">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765"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2E84A547">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04171850">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Problemi tecnici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497D779A">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Malfunzionamenti pacchetti software usati internamente</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C7FE74F">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06E886F1">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RID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664A9E5">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5CC7CBB">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9A4A05E">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2074FA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0565D58">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970AC19">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tcPr>
          <w:p w14:paraId="363A6D7A">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12,00</w:t>
            </w:r>
          </w:p>
        </w:tc>
      </w:tr>
      <w:tr w14:paraId="5AB12D41">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765"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2132E376">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65249BE4">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Problemi tecnici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00B42B34">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Malfunzionamenti software applicativi sviluppati per uso interno</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186EBFA">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4C7C2D42">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RID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DB62D6F">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CB7A45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7E15468">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EC79CE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4EEF4FA">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674B165">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tcPr>
          <w:p w14:paraId="6941E752">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12,00</w:t>
            </w:r>
          </w:p>
        </w:tc>
      </w:tr>
      <w:tr w14:paraId="1A30D6A8">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765"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5919774D">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5BB87881">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Problemi tecnici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56A866F9">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Errori di manutenzione hardware e software di base</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926A1D4">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1F4E602F">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ID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57D8B24">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81CF4D0">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980FD13">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30814D9">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8A699EB">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2A24C74">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tcPr>
          <w:p w14:paraId="5849B810">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3,00</w:t>
            </w:r>
          </w:p>
        </w:tc>
      </w:tr>
      <w:tr w14:paraId="444963DC">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765"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5FDAC50B">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1D11170F">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Azioni non autorizzate</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4528317C">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Uso non autorizzato o negligente della strumentazione</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634F674">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2</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1D25C5D2">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RID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35D5C1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49C17F7">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3AD25D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9577161">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FEE6A68">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6567BDA">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FFF66"/>
          </w:tcPr>
          <w:p w14:paraId="686978B5">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24,00</w:t>
            </w:r>
          </w:p>
        </w:tc>
      </w:tr>
      <w:tr w14:paraId="5B899735">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1275"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64DC17E6">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611D93E8">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Azioni non autorizzate</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06E57BB0">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Importazione o esportazione illegale di software (copia illegale di software o uso di software illegale)</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CE73110">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2</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000D8D37">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RID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34F41C8C">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7FCF44B5">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246F15A4">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7B8A39F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7213F5F9">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D9D9D9"/>
            <w:vAlign w:val="center"/>
          </w:tcPr>
          <w:p w14:paraId="6C0DD743">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FBFBF"/>
          </w:tcPr>
          <w:p w14:paraId="7DC9C8A8">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r>
      <w:tr w14:paraId="0B31C6AB">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765"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261AFDDB">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6AC33252">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Azioni non autorizzate</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189C28E2">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Alterazione volontaria e non autorizzata di dati di business</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2D9F225">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369C5AFC">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RID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3AA4ABA">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5CC0152">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78DA7A8">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85AD975">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B57DF0E">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4BC8473">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tcPr>
          <w:p w14:paraId="2D0C5FC2">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12,00</w:t>
            </w:r>
          </w:p>
        </w:tc>
      </w:tr>
      <w:tr w14:paraId="3E51C3E0">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05153DC5">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533CAFC6">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Azioni non autorizzate</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6BF80ED2">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Virus (malware, anche per mobile)</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51CE371">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2</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4970FD92">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RID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C60511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0C8A374">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83CCFE5">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13106B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8A1BCCF">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3F4871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FFF66"/>
          </w:tcPr>
          <w:p w14:paraId="694AA3C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24,00</w:t>
            </w:r>
          </w:p>
        </w:tc>
      </w:tr>
      <w:tr w14:paraId="0FF7BBC7">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765"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50BCD45C">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16536D41">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Azioni non autorizzate</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0E81B547">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Accesso non autorizzato alla rete (anche tramite AP wireless non autorizzati)</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E90026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2</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298E8A94">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RID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39A14D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55D1B73">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E4FD3DE">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FBD25FC">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BB2524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1C4D93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FFF66"/>
          </w:tcPr>
          <w:p w14:paraId="4051669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24,00</w:t>
            </w:r>
          </w:p>
        </w:tc>
      </w:tr>
      <w:tr w14:paraId="169EAC24">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765"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3ADB865E">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2B8C64A0">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Azioni non autorizzate</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1206E83F">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Uso non autorizzato della rete da parte degli utenti o abuso delle autorizzazioni</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0ADB852">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2</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05AF1108">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RID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D125EF9">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7789F27">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C9EAD9B">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E048459">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F3DCFB7">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E2E89E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FFF66"/>
          </w:tcPr>
          <w:p w14:paraId="55BB4737">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24,00</w:t>
            </w:r>
          </w:p>
        </w:tc>
      </w:tr>
      <w:tr w14:paraId="7E63982A">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1020"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3816E7A0">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165AF75D">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Azioni non autorizzate</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3A339188">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Trattamento (volontario o inconsapevole) non consentito di dati (personali)</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99D4F2A">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02AD8C23">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RI</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1F0C9F8">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B17084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CB19FC7">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0574AD9">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6E26FD8">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AD62B97">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tcPr>
          <w:p w14:paraId="4E71CA0B">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12,00</w:t>
            </w:r>
          </w:p>
        </w:tc>
      </w:tr>
      <w:tr w14:paraId="208F001C">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1C644656">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7C1DF923">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Compromissione di funzioni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0D2B48F5">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Errori degli utenti di business</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7C406C0">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32F9CE5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RID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4CA129B">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499E6E0">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D8A2164">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1A21FA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7A5CFA8">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CA5028B">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tcPr>
          <w:p w14:paraId="034A6AA1">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12,00</w:t>
            </w:r>
          </w:p>
        </w:tc>
      </w:tr>
      <w:tr w14:paraId="4F4E7AE1">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765"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3D637E40">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3D1C7F2D">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Compromissione di funzioni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11D20ABA">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Uso dei servizi da parte di persone non autorizzate o elevamento di privilegi.</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045D5C9">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2B66CC6F">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RID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12CC95C">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DDB9084">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4CC78F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48E86D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F4238A9">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5CD0328">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tcPr>
          <w:p w14:paraId="1FB0EFCE">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12,00</w:t>
            </w:r>
          </w:p>
        </w:tc>
      </w:tr>
      <w:tr w14:paraId="6DC4E514">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4B643EBA">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5E53AA19">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Compromissione di funzioni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2ED5F788">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Degrado dei media (memorie di massa)</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4236288">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2</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1D16E240">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ID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E69978F">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1EAA56F">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CFCA42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3418A8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543772C">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22F3369">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tcPr>
          <w:p w14:paraId="16F726DA">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6,00</w:t>
            </w:r>
          </w:p>
        </w:tc>
      </w:tr>
      <w:tr w14:paraId="2ABA5D23">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23D9F8F7">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7450A2F6">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Compromissione di funzioni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48793432">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Uso di servizi in modo non autorizzato</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C1D8D80">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2</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3B0BC75E">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RID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97726FC">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61598AF">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CEBCEB3">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92AAA87">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A134E68">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3E3B5A0">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FFF66"/>
          </w:tcPr>
          <w:p w14:paraId="45C61CA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24,00</w:t>
            </w:r>
          </w:p>
        </w:tc>
      </w:tr>
      <w:tr w14:paraId="1386DCC4">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0E566FF7">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Sicinfo</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30405A46">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Compromissione di funzioni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3F6C3B00">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Furto identità</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0DB34D3">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2</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24212D41">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RID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740E928">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9E1ADFF">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1926317">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52F6671">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FF6C5B5">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BC0F6F5">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FFF66"/>
          </w:tcPr>
          <w:p w14:paraId="4DBE3D92">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24,00</w:t>
            </w:r>
          </w:p>
        </w:tc>
      </w:tr>
      <w:tr w14:paraId="0A58A1E4">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480604A0">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Privacy</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50FBA0B3">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Trattamento dati personali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536812AA">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Eccessiva raccolta di dati personali</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5D95A9E">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53BA456F">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R</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FF93AE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A523414">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001A25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E8ABFAE">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C99760F">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3E75A05">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tcPr>
          <w:p w14:paraId="61450799">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4,00</w:t>
            </w:r>
          </w:p>
        </w:tc>
      </w:tr>
      <w:tr w14:paraId="5EBF3EC0">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1020"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445D714D">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Privacy</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29FE02A6">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Trattamento dati personali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75E9CA26">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Collegamenti o raffronti inappropriati o non autorizzati di dati personali</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26D6E3B">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77C466FA">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R</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B66A494">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F01EE32">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0E87DB5">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9B7EDCC">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D82B893">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8BD0BE3">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tcPr>
          <w:p w14:paraId="35245A2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12,00</w:t>
            </w:r>
          </w:p>
        </w:tc>
      </w:tr>
      <w:tr w14:paraId="098BCE13">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1275"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365716FF">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Privacy</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27D0EBED">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Trattamento dati personali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76C94F6D">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Divulgazione o riuso per finalità diverse dei dati personali senza la consapevolezza e/o il consenso degli interessati</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A554B4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2</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7F66785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R</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632219E">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B4FE4D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E1D528A">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5F07248">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8BADA5E">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B11D5E0">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FFF66"/>
          </w:tcPr>
          <w:p w14:paraId="2DFD3EC9">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24,00</w:t>
            </w:r>
          </w:p>
        </w:tc>
      </w:tr>
      <w:tr w14:paraId="16A28744">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765"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0D464F0D">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Privacy</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7005E656">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Trattamento dati personali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6033BDB1">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Conservazione immotivamente prolungata dei dati personali</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D90F2CB">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044077E4">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R</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F32B61E">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F30C250">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7DED02A">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1646258">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C103658">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467B097">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tcPr>
          <w:p w14:paraId="3C7C971A">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4,00</w:t>
            </w:r>
          </w:p>
        </w:tc>
      </w:tr>
      <w:tr w14:paraId="4748F58A">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765"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6CB82610">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Privacy</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61A875D0">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Trattamento dati personali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748ADF08">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Inesattezza o mancato aggiornamento dei dati personali</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6510439">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26A6D8DE">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I</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12F85A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42EF4FE">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E35D9F7">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1BC2C42">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9D4F8BF">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C46A1DE">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tcPr>
          <w:p w14:paraId="1C421EE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1,00</w:t>
            </w:r>
          </w:p>
        </w:tc>
      </w:tr>
      <w:tr w14:paraId="33236AE4">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765"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4CD77E87">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Privacy</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093AC571">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Trattamento dati personali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10A40B0D">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Violazione delle istruzioni ricevute in materia di dati personali</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11F47FE">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2</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304CBC79">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RID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169FC1B">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947C234">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ED1A041">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A13E50A">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B4905EF">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D903F17">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FFF66"/>
          </w:tcPr>
          <w:p w14:paraId="217CCBC2">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24,00</w:t>
            </w:r>
          </w:p>
        </w:tc>
      </w:tr>
      <w:tr w14:paraId="5491EE84">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765" w:hRule="atLeast"/>
        </w:trPr>
        <w:tc>
          <w:tcPr>
            <w:tcW w:w="81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5C9C3D9C">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Privacy</w:t>
            </w:r>
          </w:p>
        </w:tc>
        <w:tc>
          <w:tcPr>
            <w:tcW w:w="15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548235"/>
            <w:vAlign w:val="center"/>
          </w:tcPr>
          <w:p w14:paraId="3C60D6D9">
            <w:pPr>
              <w:spacing w:before="0" w:after="0" w:line="240" w:lineRule="auto"/>
              <w:ind w:right="0" w:firstLine="0"/>
              <w:jc w:val="center"/>
              <w:rPr>
                <w:rFonts w:ascii="Calibri" w:hAnsi="Calibri" w:eastAsia="Times New Roman" w:cs="Calibri"/>
                <w:color w:val="FFFFFF"/>
                <w:kern w:val="0"/>
                <w:sz w:val="20"/>
                <w:szCs w:val="20"/>
                <w14:ligatures w14:val="none"/>
              </w:rPr>
            </w:pPr>
            <w:r>
              <w:rPr>
                <w:rFonts w:ascii="Calibri" w:hAnsi="Calibri" w:eastAsia="Times New Roman" w:cs="Calibri"/>
                <w:color w:val="FFFFFF"/>
                <w:kern w:val="0"/>
                <w:sz w:val="20"/>
                <w:szCs w:val="20"/>
                <w14:ligatures w14:val="none"/>
              </w:rPr>
              <w:t>Trattamento dati personali</w:t>
            </w:r>
          </w:p>
        </w:tc>
        <w:tc>
          <w:tcPr>
            <w:tcW w:w="16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A9D08E"/>
          </w:tcPr>
          <w:p w14:paraId="435D5622">
            <w:pPr>
              <w:spacing w:before="0" w:after="0" w:line="240" w:lineRule="auto"/>
              <w:ind w:right="0" w:firstLine="0"/>
              <w:jc w:val="left"/>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Trasferimento dati personali extra UE senza garanzie di adeguatezza</w:t>
            </w:r>
          </w:p>
        </w:tc>
        <w:tc>
          <w:tcPr>
            <w:tcW w:w="179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FEC860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1</w:t>
            </w:r>
          </w:p>
        </w:tc>
        <w:tc>
          <w:tcPr>
            <w:tcW w:w="1390"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2F2F2"/>
            <w:vAlign w:val="center"/>
          </w:tcPr>
          <w:p w14:paraId="3C63C23B">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RID</w:t>
            </w:r>
          </w:p>
        </w:tc>
        <w:tc>
          <w:tcPr>
            <w:tcW w:w="1174"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3BBC74A">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799"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6008D3A">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94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B9D3A25">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30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24E07A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X</w:t>
            </w:r>
          </w:p>
        </w:tc>
        <w:tc>
          <w:tcPr>
            <w:tcW w:w="100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0E85DFF">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A38D986">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 </w:t>
            </w:r>
          </w:p>
        </w:tc>
        <w:tc>
          <w:tcPr>
            <w:tcW w:w="1088" w:type="dxa"/>
            <w:gridSpan w:val="2"/>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tcPr>
          <w:p w14:paraId="46EF078D">
            <w:pPr>
              <w:spacing w:before="0" w:after="0" w:line="240" w:lineRule="auto"/>
              <w:ind w:right="0" w:firstLine="0"/>
              <w:jc w:val="center"/>
              <w:rPr>
                <w:rFonts w:ascii="Calibri" w:hAnsi="Calibri" w:eastAsia="Times New Roman" w:cs="Calibri"/>
                <w:color w:val="00000A"/>
                <w:kern w:val="0"/>
                <w:sz w:val="20"/>
                <w:szCs w:val="20"/>
                <w14:ligatures w14:val="none"/>
              </w:rPr>
            </w:pPr>
            <w:r>
              <w:rPr>
                <w:rFonts w:ascii="Calibri" w:hAnsi="Calibri" w:eastAsia="Times New Roman" w:cs="Calibri"/>
                <w:color w:val="00000A"/>
                <w:kern w:val="0"/>
                <w:sz w:val="20"/>
                <w:szCs w:val="20"/>
                <w14:ligatures w14:val="none"/>
              </w:rPr>
              <w:t>4,00</w:t>
            </w:r>
          </w:p>
        </w:tc>
      </w:tr>
    </w:tbl>
    <w:p w14:paraId="360E56C6">
      <w:pPr>
        <w:sectPr>
          <w:headerReference r:id="rId9" w:type="default"/>
          <w:footerReference r:id="rId10" w:type="default"/>
          <w:pgSz w:w="16838" w:h="11906" w:orient="landscape"/>
          <w:pgMar w:top="1417" w:right="1134" w:bottom="1134" w:left="1134" w:header="708" w:footer="708" w:gutter="0"/>
          <w:pgNumType w:fmt="decimal"/>
          <w:cols w:space="720" w:num="1"/>
          <w:formProt w:val="0"/>
          <w:docGrid w:linePitch="360" w:charSpace="0"/>
        </w:sectPr>
      </w:pPr>
    </w:p>
    <w:p w14:paraId="575297ED">
      <w:pPr>
        <w:pStyle w:val="3"/>
        <w:shd w:val="clear" w:color="auto" w:fill="D9E2F3"/>
        <w:spacing w:line="240" w:lineRule="auto"/>
      </w:pPr>
      <w:bookmarkStart w:id="46" w:name="_Toc211869171"/>
      <w:r>
        <w:t>Livello di rischio per la PIA e consultazione preventiva</w:t>
      </w:r>
      <w:bookmarkEnd w:id="46"/>
    </w:p>
    <w:p w14:paraId="3BB440C1">
      <w:pPr>
        <w:spacing w:before="0" w:after="160" w:line="276" w:lineRule="auto"/>
        <w:ind w:right="0" w:firstLine="0"/>
        <w:jc w:val="left"/>
      </w:pPr>
    </w:p>
    <w:p w14:paraId="34DB6884">
      <w:pPr>
        <w:spacing w:line="276" w:lineRule="auto"/>
      </w:pPr>
      <w:r>
        <w:t>Per la PIA deve essere indicato se il rischio è elevato per avviare la consultazione preventiva.</w:t>
      </w:r>
    </w:p>
    <w:p w14:paraId="5602B326">
      <w:pPr>
        <w:spacing w:line="276" w:lineRule="auto"/>
      </w:pPr>
      <w:r>
        <w:t>In questo caso, il rischio è "elevato" se massimo per valore delle informazioni (valore 4) e per verosimiglianza della minaccia (valore 3, senza considerare le misure attuate).</w:t>
      </w:r>
    </w:p>
    <w:tbl>
      <w:tblPr>
        <w:tblStyle w:val="7"/>
        <w:tblW w:w="7788" w:type="dxa"/>
        <w:tblInd w:w="0" w:type="dxa"/>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Layout w:type="autofit"/>
        <w:tblCellMar>
          <w:top w:w="0" w:type="dxa"/>
          <w:left w:w="70" w:type="dxa"/>
          <w:bottom w:w="0" w:type="dxa"/>
          <w:right w:w="70" w:type="dxa"/>
        </w:tblCellMar>
      </w:tblPr>
      <w:tblGrid>
        <w:gridCol w:w="1728"/>
        <w:gridCol w:w="2251"/>
        <w:gridCol w:w="1555"/>
        <w:gridCol w:w="2254"/>
      </w:tblGrid>
      <w:tr w14:paraId="5DC76D49">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390" w:hRule="atLeast"/>
        </w:trPr>
        <w:tc>
          <w:tcPr>
            <w:tcW w:w="172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bottom"/>
          </w:tcPr>
          <w:p w14:paraId="06EF521E">
            <w:pPr>
              <w:spacing w:before="0" w:after="0" w:line="240" w:lineRule="auto"/>
              <w:ind w:right="0" w:firstLine="0"/>
              <w:jc w:val="left"/>
              <w:rPr>
                <w:rFonts w:eastAsia="Times New Roman" w:cs="Calibri Light"/>
                <w:b/>
                <w:bCs/>
                <w:color w:val="FFFFFF"/>
                <w:kern w:val="0"/>
                <w:sz w:val="20"/>
                <w:szCs w:val="20"/>
                <w14:ligatures w14:val="none"/>
              </w:rPr>
            </w:pPr>
            <w:r>
              <w:rPr>
                <w:rFonts w:eastAsia="Times New Roman" w:cs="Calibri Light"/>
                <w:b/>
                <w:bCs/>
                <w:color w:val="FFFFFF"/>
                <w:kern w:val="0"/>
                <w:sz w:val="20"/>
                <w:szCs w:val="20"/>
                <w14:ligatures w14:val="none"/>
              </w:rPr>
              <w:t> </w:t>
            </w:r>
          </w:p>
        </w:tc>
        <w:tc>
          <w:tcPr>
            <w:tcW w:w="6059" w:type="dxa"/>
            <w:gridSpan w:val="3"/>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6856923D">
            <w:pPr>
              <w:spacing w:before="0" w:after="0" w:line="240" w:lineRule="auto"/>
              <w:ind w:right="0" w:firstLine="0"/>
              <w:jc w:val="center"/>
              <w:rPr>
                <w:rFonts w:eastAsia="Times New Roman" w:cs="Calibri Light"/>
                <w:b/>
                <w:bCs/>
                <w:color w:val="FFFFFF"/>
                <w:kern w:val="0"/>
                <w:sz w:val="20"/>
                <w:szCs w:val="20"/>
                <w14:ligatures w14:val="none"/>
              </w:rPr>
            </w:pPr>
            <w:r>
              <w:rPr>
                <w:rFonts w:eastAsia="Times New Roman" w:cs="Calibri Light"/>
                <w:b/>
                <w:bCs/>
                <w:color w:val="FFFFFF"/>
                <w:kern w:val="0"/>
                <w:sz w:val="20"/>
                <w:szCs w:val="20"/>
                <w14:ligatures w14:val="none"/>
              </w:rPr>
              <w:t>Valore delle informazioni</w:t>
            </w:r>
          </w:p>
        </w:tc>
      </w:tr>
      <w:tr w14:paraId="7891C228">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405" w:hRule="atLeast"/>
        </w:trPr>
        <w:tc>
          <w:tcPr>
            <w:tcW w:w="172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405C9E78">
            <w:pPr>
              <w:spacing w:before="0" w:after="0" w:line="240" w:lineRule="auto"/>
              <w:ind w:right="0" w:firstLine="0"/>
              <w:jc w:val="left"/>
              <w:rPr>
                <w:rFonts w:eastAsia="Times New Roman" w:cs="Calibri Light"/>
                <w:b/>
                <w:bCs/>
                <w:color w:val="FFFFFF"/>
                <w:kern w:val="0"/>
                <w:sz w:val="20"/>
                <w:szCs w:val="20"/>
                <w14:ligatures w14:val="none"/>
              </w:rPr>
            </w:pPr>
            <w:r>
              <w:rPr>
                <w:rFonts w:eastAsia="Times New Roman" w:cs="Calibri Light"/>
                <w:b/>
                <w:bCs/>
                <w:color w:val="FFFFFF"/>
                <w:kern w:val="0"/>
                <w:sz w:val="20"/>
                <w:szCs w:val="20"/>
                <w14:ligatures w14:val="none"/>
              </w:rPr>
              <w:t>Informazioni</w:t>
            </w:r>
          </w:p>
        </w:tc>
        <w:tc>
          <w:tcPr>
            <w:tcW w:w="225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137BB40A">
            <w:pPr>
              <w:spacing w:before="0" w:after="0" w:line="240" w:lineRule="auto"/>
              <w:ind w:right="0" w:firstLine="0"/>
              <w:jc w:val="center"/>
              <w:rPr>
                <w:rFonts w:eastAsia="Times New Roman" w:cs="Calibri Light"/>
                <w:b/>
                <w:bCs/>
                <w:color w:val="FFFFFF"/>
                <w:kern w:val="0"/>
                <w:sz w:val="20"/>
                <w:szCs w:val="20"/>
                <w14:ligatures w14:val="none"/>
              </w:rPr>
            </w:pPr>
            <w:r>
              <w:rPr>
                <w:rFonts w:eastAsia="Times New Roman" w:cs="Calibri Light"/>
                <w:b/>
                <w:bCs/>
                <w:color w:val="FFFFFF"/>
                <w:kern w:val="0"/>
                <w:sz w:val="20"/>
                <w:szCs w:val="20"/>
                <w14:ligatures w14:val="none"/>
              </w:rPr>
              <w:t>Riservatezza</w:t>
            </w:r>
          </w:p>
        </w:tc>
        <w:tc>
          <w:tcPr>
            <w:tcW w:w="155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1BAC0DA1">
            <w:pPr>
              <w:spacing w:before="0" w:after="0" w:line="240" w:lineRule="auto"/>
              <w:ind w:right="0" w:firstLine="0"/>
              <w:jc w:val="center"/>
              <w:rPr>
                <w:rFonts w:eastAsia="Times New Roman" w:cs="Calibri Light"/>
                <w:b/>
                <w:bCs/>
                <w:color w:val="FFFFFF"/>
                <w:kern w:val="0"/>
                <w:sz w:val="20"/>
                <w:szCs w:val="20"/>
                <w14:ligatures w14:val="none"/>
              </w:rPr>
            </w:pPr>
            <w:r>
              <w:rPr>
                <w:rFonts w:eastAsia="Times New Roman" w:cs="Calibri Light"/>
                <w:b/>
                <w:bCs/>
                <w:color w:val="FFFFFF"/>
                <w:kern w:val="0"/>
                <w:sz w:val="20"/>
                <w:szCs w:val="20"/>
                <w14:ligatures w14:val="none"/>
              </w:rPr>
              <w:t>Integrità</w:t>
            </w:r>
          </w:p>
        </w:tc>
        <w:tc>
          <w:tcPr>
            <w:tcW w:w="225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7672174F">
            <w:pPr>
              <w:spacing w:before="0" w:after="0" w:line="240" w:lineRule="auto"/>
              <w:ind w:right="0" w:firstLine="0"/>
              <w:jc w:val="center"/>
              <w:rPr>
                <w:rFonts w:eastAsia="Times New Roman" w:cs="Calibri Light"/>
                <w:b/>
                <w:bCs/>
                <w:color w:val="FFFFFF"/>
                <w:kern w:val="0"/>
                <w:sz w:val="20"/>
                <w:szCs w:val="20"/>
                <w14:ligatures w14:val="none"/>
              </w:rPr>
            </w:pPr>
            <w:r>
              <w:rPr>
                <w:rFonts w:eastAsia="Times New Roman" w:cs="Calibri Light"/>
                <w:b/>
                <w:bCs/>
                <w:color w:val="FFFFFF"/>
                <w:kern w:val="0"/>
                <w:sz w:val="20"/>
                <w:szCs w:val="20"/>
                <w14:ligatures w14:val="none"/>
              </w:rPr>
              <w:t>Disponibilità</w:t>
            </w:r>
          </w:p>
        </w:tc>
      </w:tr>
      <w:tr w14:paraId="3B129E61">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172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bottom"/>
          </w:tcPr>
          <w:p w14:paraId="55F24213">
            <w:pPr>
              <w:spacing w:before="0" w:after="0" w:line="240" w:lineRule="auto"/>
              <w:ind w:right="0" w:firstLine="0"/>
              <w:jc w:val="left"/>
              <w:rPr>
                <w:rFonts w:eastAsia="Times New Roman" w:cs="Calibri Light"/>
                <w:b/>
                <w:bCs/>
                <w:color w:val="00000A"/>
                <w:kern w:val="0"/>
                <w:sz w:val="20"/>
                <w:szCs w:val="20"/>
                <w14:ligatures w14:val="none"/>
              </w:rPr>
            </w:pPr>
            <w:r>
              <w:rPr>
                <w:rFonts w:eastAsia="Times New Roman" w:cs="Calibri Light"/>
                <w:b/>
                <w:bCs/>
                <w:color w:val="00000A"/>
                <w:kern w:val="0"/>
                <w:sz w:val="20"/>
                <w:szCs w:val="20"/>
                <w14:ligatures w14:val="none"/>
              </w:rPr>
              <w:t>Totale valore informazioni</w:t>
            </w:r>
          </w:p>
        </w:tc>
        <w:tc>
          <w:tcPr>
            <w:tcW w:w="225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953FA63">
            <w:pPr>
              <w:spacing w:before="0" w:after="0" w:line="240" w:lineRule="auto"/>
              <w:ind w:right="0" w:firstLine="0"/>
              <w:jc w:val="center"/>
              <w:rPr>
                <w:rFonts w:eastAsia="Times New Roman" w:cs="Calibri Light"/>
                <w:b/>
                <w:bCs/>
                <w:color w:val="00000A"/>
                <w:kern w:val="0"/>
                <w:sz w:val="20"/>
                <w:szCs w:val="20"/>
                <w14:ligatures w14:val="none"/>
              </w:rPr>
            </w:pPr>
            <w:r>
              <w:rPr>
                <w:rFonts w:eastAsia="Times New Roman" w:cs="Calibri Light"/>
                <w:b/>
                <w:bCs/>
                <w:color w:val="00000A"/>
                <w:kern w:val="0"/>
                <w:sz w:val="20"/>
                <w:szCs w:val="20"/>
                <w14:ligatures w14:val="none"/>
              </w:rPr>
              <w:t>4</w:t>
            </w:r>
          </w:p>
        </w:tc>
        <w:tc>
          <w:tcPr>
            <w:tcW w:w="1555"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5AB518B">
            <w:pPr>
              <w:spacing w:before="0" w:after="0" w:line="240" w:lineRule="auto"/>
              <w:ind w:right="0" w:firstLine="0"/>
              <w:jc w:val="center"/>
              <w:rPr>
                <w:rFonts w:eastAsia="Times New Roman" w:cs="Calibri Light"/>
                <w:b/>
                <w:bCs/>
                <w:color w:val="00000A"/>
                <w:kern w:val="0"/>
                <w:sz w:val="20"/>
                <w:szCs w:val="20"/>
                <w14:ligatures w14:val="none"/>
              </w:rPr>
            </w:pPr>
            <w:r>
              <w:rPr>
                <w:rFonts w:eastAsia="Times New Roman" w:cs="Calibri Light"/>
                <w:b/>
                <w:bCs/>
                <w:color w:val="00000A"/>
                <w:kern w:val="0"/>
                <w:sz w:val="20"/>
                <w:szCs w:val="20"/>
                <w14:ligatures w14:val="none"/>
              </w:rPr>
              <w:t>1</w:t>
            </w:r>
          </w:p>
        </w:tc>
        <w:tc>
          <w:tcPr>
            <w:tcW w:w="225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439817C">
            <w:pPr>
              <w:spacing w:before="0" w:after="0" w:line="240" w:lineRule="auto"/>
              <w:ind w:right="0" w:firstLine="0"/>
              <w:jc w:val="center"/>
              <w:rPr>
                <w:rFonts w:eastAsia="Times New Roman" w:cs="Calibri Light"/>
                <w:b/>
                <w:bCs/>
                <w:color w:val="00000A"/>
                <w:kern w:val="0"/>
                <w:sz w:val="20"/>
                <w:szCs w:val="20"/>
                <w14:ligatures w14:val="none"/>
              </w:rPr>
            </w:pPr>
            <w:r>
              <w:rPr>
                <w:rFonts w:eastAsia="Times New Roman" w:cs="Calibri Light"/>
                <w:b/>
                <w:bCs/>
                <w:color w:val="00000A"/>
                <w:kern w:val="0"/>
                <w:sz w:val="20"/>
                <w:szCs w:val="20"/>
                <w14:ligatures w14:val="none"/>
              </w:rPr>
              <w:t>1</w:t>
            </w:r>
          </w:p>
        </w:tc>
      </w:tr>
    </w:tbl>
    <w:p w14:paraId="6B021EC4">
      <w:pPr>
        <w:spacing w:before="0" w:after="160" w:line="259" w:lineRule="auto"/>
        <w:ind w:right="0" w:firstLine="0"/>
        <w:jc w:val="left"/>
      </w:pPr>
    </w:p>
    <w:tbl>
      <w:tblPr>
        <w:tblStyle w:val="7"/>
        <w:tblW w:w="5000" w:type="pct"/>
        <w:tblInd w:w="0" w:type="dxa"/>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Layout w:type="autofit"/>
        <w:tblCellMar>
          <w:top w:w="0" w:type="dxa"/>
          <w:left w:w="70" w:type="dxa"/>
          <w:bottom w:w="0" w:type="dxa"/>
          <w:right w:w="70" w:type="dxa"/>
        </w:tblCellMar>
      </w:tblPr>
      <w:tblGrid>
        <w:gridCol w:w="1484"/>
        <w:gridCol w:w="1516"/>
        <w:gridCol w:w="2111"/>
        <w:gridCol w:w="1641"/>
        <w:gridCol w:w="1487"/>
        <w:gridCol w:w="1539"/>
      </w:tblGrid>
      <w:tr w14:paraId="4A0EF7D0">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600" w:hRule="atLeast"/>
          <w:tblHeader/>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1746CA2E">
            <w:pPr>
              <w:spacing w:before="0" w:after="0" w:line="240" w:lineRule="auto"/>
              <w:ind w:right="0" w:firstLine="0"/>
              <w:jc w:val="center"/>
              <w:rPr>
                <w:rFonts w:eastAsia="Times New Roman" w:cs="Calibri Light"/>
                <w:b/>
                <w:bCs/>
                <w:color w:val="FFFFFF"/>
                <w:kern w:val="0"/>
                <w:sz w:val="22"/>
                <w:szCs w:val="22"/>
                <w14:ligatures w14:val="none"/>
              </w:rPr>
            </w:pPr>
            <w:r>
              <w:rPr>
                <w:rFonts w:eastAsia="Times New Roman" w:cs="Calibri Light"/>
                <w:b/>
                <w:bCs/>
                <w:color w:val="FFFFFF"/>
                <w:kern w:val="0"/>
                <w:sz w:val="22"/>
                <w:szCs w:val="22"/>
                <w14:ligatures w14:val="none"/>
              </w:rPr>
              <w:t>Ambito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1CC71F9D">
            <w:pPr>
              <w:spacing w:before="0" w:after="0" w:line="240" w:lineRule="auto"/>
              <w:ind w:right="0" w:firstLine="0"/>
              <w:jc w:val="center"/>
              <w:rPr>
                <w:rFonts w:eastAsia="Times New Roman" w:cs="Calibri Light"/>
                <w:b/>
                <w:bCs/>
                <w:color w:val="FFFFFF"/>
                <w:kern w:val="0"/>
                <w:sz w:val="22"/>
                <w:szCs w:val="22"/>
                <w14:ligatures w14:val="none"/>
              </w:rPr>
            </w:pPr>
            <w:r>
              <w:rPr>
                <w:rFonts w:eastAsia="Times New Roman" w:cs="Calibri Light"/>
                <w:b/>
                <w:bCs/>
                <w:color w:val="FFFFFF"/>
                <w:kern w:val="0"/>
                <w:sz w:val="22"/>
                <w:szCs w:val="22"/>
                <w14:ligatures w14:val="none"/>
              </w:rPr>
              <w:t>Categoria</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030B508C">
            <w:pPr>
              <w:spacing w:before="0" w:after="0" w:line="240" w:lineRule="auto"/>
              <w:ind w:right="0" w:firstLine="0"/>
              <w:jc w:val="center"/>
              <w:rPr>
                <w:rFonts w:eastAsia="Times New Roman" w:cs="Calibri Light"/>
                <w:b/>
                <w:bCs/>
                <w:color w:val="FFFFFF"/>
                <w:kern w:val="0"/>
                <w:sz w:val="22"/>
                <w:szCs w:val="22"/>
                <w14:ligatures w14:val="none"/>
              </w:rPr>
            </w:pPr>
            <w:r>
              <w:rPr>
                <w:rFonts w:eastAsia="Times New Roman" w:cs="Calibri Light"/>
                <w:b/>
                <w:bCs/>
                <w:color w:val="FFFFFF"/>
                <w:kern w:val="0"/>
                <w:sz w:val="22"/>
                <w:szCs w:val="22"/>
                <w14:ligatures w14:val="none"/>
              </w:rPr>
              <w:t>Minaccia</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67DCCB5D">
            <w:pPr>
              <w:spacing w:before="0" w:after="0" w:line="240" w:lineRule="auto"/>
              <w:ind w:right="0" w:firstLine="0"/>
              <w:jc w:val="center"/>
              <w:rPr>
                <w:rFonts w:eastAsia="Times New Roman" w:cs="Calibri Light"/>
                <w:b/>
                <w:bCs/>
                <w:color w:val="FFFFFF"/>
                <w:kern w:val="0"/>
                <w:sz w:val="22"/>
                <w:szCs w:val="22"/>
                <w14:ligatures w14:val="none"/>
              </w:rPr>
            </w:pPr>
            <w:r>
              <w:rPr>
                <w:rFonts w:eastAsia="Times New Roman" w:cs="Calibri Light"/>
                <w:b/>
                <w:bCs/>
                <w:color w:val="FFFFFF"/>
                <w:kern w:val="0"/>
                <w:sz w:val="22"/>
                <w:szCs w:val="22"/>
                <w14:ligatures w14:val="none"/>
              </w:rPr>
              <w:t>Verosimiglianza</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10544A9F">
            <w:pPr>
              <w:spacing w:before="0" w:after="0" w:line="240" w:lineRule="auto"/>
              <w:ind w:right="0" w:firstLine="0"/>
              <w:jc w:val="center"/>
              <w:rPr>
                <w:rFonts w:eastAsia="Times New Roman" w:cs="Calibri Light"/>
                <w:b/>
                <w:bCs/>
                <w:color w:val="FFFFFF"/>
                <w:kern w:val="0"/>
                <w:sz w:val="22"/>
                <w:szCs w:val="22"/>
                <w14:ligatures w14:val="none"/>
              </w:rPr>
            </w:pPr>
            <w:r>
              <w:rPr>
                <w:rFonts w:eastAsia="Times New Roman" w:cs="Calibri Light"/>
                <w:b/>
                <w:bCs/>
                <w:color w:val="FFFFFF"/>
                <w:kern w:val="0"/>
                <w:sz w:val="22"/>
                <w:szCs w:val="22"/>
                <w14:ligatures w14:val="none"/>
              </w:rPr>
              <w:t>Rischio "Puro"</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05A1E212">
            <w:pPr>
              <w:spacing w:before="0" w:after="0" w:line="240" w:lineRule="auto"/>
              <w:ind w:right="0" w:firstLine="0"/>
              <w:jc w:val="center"/>
              <w:rPr>
                <w:rFonts w:eastAsia="Times New Roman" w:cs="Calibri Light"/>
                <w:b/>
                <w:bCs/>
                <w:color w:val="FFFFFF"/>
                <w:kern w:val="0"/>
                <w:sz w:val="22"/>
                <w:szCs w:val="22"/>
                <w14:ligatures w14:val="none"/>
              </w:rPr>
            </w:pPr>
            <w:r>
              <w:rPr>
                <w:rFonts w:eastAsia="Times New Roman" w:cs="Calibri Light"/>
                <w:b/>
                <w:bCs/>
                <w:color w:val="FFFFFF"/>
                <w:kern w:val="0"/>
                <w:sz w:val="22"/>
                <w:szCs w:val="22"/>
                <w14:ligatures w14:val="none"/>
              </w:rPr>
              <w:t>Rischio "puro" qualitativo</w:t>
            </w:r>
          </w:p>
        </w:tc>
      </w:tr>
      <w:tr w14:paraId="1F90A15C">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255"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07739583">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44DD1E35">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Danni fisici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03F18B1B">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Incendio</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049CB2D">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6824B26">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571CF31B">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2D7FCD1F">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255"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28A57A8C">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5D1408AA">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Danni fisici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58C13C75">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Allagamento</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CF59C48">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ACCAECB">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1CA85CB9">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1A0A8739">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474D9DFA">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46CF9D39">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Danni fisici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72881456">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Polvere, corrosione, congelamento.</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517B429">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EF9D9CA">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14EB3610">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576B9A68">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1020"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3282D803">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1A2EDF0C">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Danni fisici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745B995B">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Distruzione di strumentazione da parte di malintenzionati o per errore (disattenzione)</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FA17104">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2</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D74684D">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2</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4B9B566F">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41AABA3D">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255"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7B26BA9E">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17A07441">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Danni fisici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71EFA289">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Attacchi (bombe, terroristi)</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A452CB5">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2B41512">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205F7DD6">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31EDDCDA">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190F5AD3">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2926D073">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Eventi naturali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4A0AAF19">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Fenomeni climatici (uragani, nevicate)</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F778D4D">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325626A">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2765E95C">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54AA32AD">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2A701445">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6579F24A">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Eventi naturali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2D037FF1">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Terremoti, eruzioni vulcaniche</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388E825">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DAA48DD">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16D168D0">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35EED36A">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1C6274E1">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495A81DA">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Eventi naturali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0BDE59AE">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Fulmini e scariche atmosferiche</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3D36B1C">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2</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6D3696B">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2</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39827DB3">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763BF52A">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09AAD4FD">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39233004">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Perdita di servizi essenziali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1EEEC6F6">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Guasto aria condizionata o sistemi di raffreddamento</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986A420">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2</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5D66297">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2</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578A57C0">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4D7959FF">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26CF8A19">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00D60226">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Perdita di servizi essenziali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1B7EE32C">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Perdita di energia (o sbalzi di tensione)</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2086F7B">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2</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061FE33">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2</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6F7F9057">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2D065BDE">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34B7DB61">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169E27C1">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Perdita di servizi essenziali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57005987">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Malfunzionamento nei componenti di rete</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B2FC08A">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2</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8BD7A37">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8</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FFF66"/>
            <w:vAlign w:val="center"/>
          </w:tcPr>
          <w:p w14:paraId="15882442">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Medio</w:t>
            </w:r>
          </w:p>
        </w:tc>
      </w:tr>
      <w:tr w14:paraId="29720E9D">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1D995A51">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3EF808F8">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Perdita di servizi essenziali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24F6B172">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Errori di trasmissione (incluso il misrouting)</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63807F9">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1E33F95">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57D430E2">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675FE150">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765"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30D2DCA4">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5213947D">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Perdita di servizi essenziali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70BB2ABE">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Interruzione nei collegamenti di rete (inclusi danni alle linee di TLC)</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0B25168">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2</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A8CD5A8">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2</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4F2E5620">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7C892EA8">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575969A4">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02670062">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Perdita di servizi essenziali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1E89A47F">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Eccesso di traffico sulla rete</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A720ABA">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2</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97EF2C4">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2</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1F4253EC">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6176E753">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2295"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22FECFBB">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52B9604D">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Perdita di servizi essenziali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704E36A2">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Interruzione di servizi erogati riconducibili ai fornitori esterni  (inclusi ISP, CSP, DR site,  supporto tecnico specialistico, esternalizzazione attività). Per esempio a causa di fallimento, chiusura, incidenti.</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57A8FFC">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1A43592">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34C22672">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3BA457B9">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10CB3ED1">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7EB801B6">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Perdita di servizi essenziali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10DFA529">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Indisponibilità di personale (malattie, sciopero, eccetera)</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3A9E216">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F639A2F">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626CBBA8">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71310FCA">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255"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2D4DCB84">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324552B8">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Disturbi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67EE6AD9">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Disturbi elettromagnetici</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CB8A72A">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CD28143">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1A884E2F">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7987D287">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50F73905">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634FEC94">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Compromissione di informazioni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23A4BA7A">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Intercettazione (inclusa analisi del traffico)</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6ED5FEC">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E4AA460">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4</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0BFED797">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69796E79">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48CEEE4C">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02530FCF">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Compromissione di informazioni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271492C3">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Furto di documenti o supporti di memorizzazione</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8C91317">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8DD41D2">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4</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17264FCF">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323BD98D">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6308970E">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5B34FE18">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Compromissione di informazioni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00B3873A">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Furto di apparati o componenti</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90EDB3C">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2</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08EEC07">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8</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FFF66"/>
            <w:vAlign w:val="center"/>
          </w:tcPr>
          <w:p w14:paraId="0A655E2B">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Medio</w:t>
            </w:r>
          </w:p>
        </w:tc>
      </w:tr>
      <w:tr w14:paraId="36EE02EF">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765"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54D46D11">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39CE341C">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Compromissione di informazioni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35163AF2">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Recupero di informazioni da media (principalmente memorie di massa) dismessi.</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76288F1">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0688101">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4</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5CF82731">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3F70114D">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765"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0F68F129">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2702470E">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Compromissione di informazioni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327643DF">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Rivelazione di informazioni (da parte del personale o fornitori)</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78E17AE">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2</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D4B57A7">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8</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FFF66"/>
            <w:vAlign w:val="center"/>
          </w:tcPr>
          <w:p w14:paraId="73189518">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Medio</w:t>
            </w:r>
          </w:p>
        </w:tc>
      </w:tr>
      <w:tr w14:paraId="256124B5">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0AEAE2A7">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41184BF4">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Compromissione di informazioni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1E67BE1C">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Ricezione dati da origini non affidabili</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26AC248">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66FA06B">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5B83F2D2">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4C596757">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0CCDDE88">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04E59D37">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Compromissione di informazioni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4EAC4922">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Infiltrazione nelle comunicazioni</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25D82E6">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81D6F4C">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4</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3DE888DE">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321B24D9">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060DAA2D">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04BFEA1E">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Compromissione di informazioni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3EE769CC">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Ripudio dei messaggi</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3E8EA02">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6E18DEC">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790E93D1">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1C4EA1E7">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4D4D265A">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074BEF9A">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Compromissione di informazioni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19C229D4">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Accesso non autorizzato alle informazioni</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33BF560">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2</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46FDAD6">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8</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FFF66"/>
            <w:vAlign w:val="center"/>
          </w:tcPr>
          <w:p w14:paraId="5CB21683">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Medio</w:t>
            </w:r>
          </w:p>
        </w:tc>
      </w:tr>
      <w:tr w14:paraId="3776BD9C">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62F72521">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4590E553">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Problemi tecnici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38BF252F">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Fault o malfunzionamento della strumentazione IT</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FF72B0D">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2</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7E9790B">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2</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37F1184A">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36FE8E9C">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255"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67F96303">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56258EEE">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Problemi tecnici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37D1AC73">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Saturazione dei sistemi IT</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D3D6B7B">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2</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97DDDEC">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2</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51CE2729">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66220D92">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765"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5A92CC46">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706CEC81">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Problemi tecnici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40BA559B">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Malfunzionamenti software applicativi sviluppati per i clienti</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A17FAF9">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9B79CAC">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4</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00ED1CA6">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2DD085AF">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10EF2738">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28BA2914">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Problemi tecnici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7A00A3D5">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Malfunzionamenti pacchetti software usati internamente</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3539FCA">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60D1AAA">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4</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5194FFFE">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07FE508F">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765"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33B69C51">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7BDE5C25">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Problemi tecnici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73A4D3A2">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Malfunzionamenti software applicativi sviluppati per uso interno</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6882B0B">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F064145">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4</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5EAB7684">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70EEE603">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311C1C90">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04A8BC5D">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Problemi tecnici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4C06EF7F">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Errori di manutenzione hardware e software di base</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0D6FE59">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93242B5">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7913BF4E">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115ABC31">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765"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7678D6AC">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3C68BB65">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Azioni non autorizzate</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01CDE932">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Uso non autorizzato o negligente della strumentazione</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4136188">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2</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17EE6E2">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8</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FFF66"/>
            <w:vAlign w:val="center"/>
          </w:tcPr>
          <w:p w14:paraId="5A4070EC">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Medio</w:t>
            </w:r>
          </w:p>
        </w:tc>
      </w:tr>
      <w:tr w14:paraId="17F38442">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1020"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7476081B">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26E67668">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Azioni non autorizzate</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7620AAA8">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Importazione o esportazione illegale di software (copia illegale di software o uso di software illegale)</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2DA12EB">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2</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49E653C">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8</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FFF66"/>
            <w:vAlign w:val="center"/>
          </w:tcPr>
          <w:p w14:paraId="04B85A01">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Medio</w:t>
            </w:r>
          </w:p>
        </w:tc>
      </w:tr>
      <w:tr w14:paraId="59EDEEF4">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765"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54B28287">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1A3EC7A1">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Azioni non autorizzate</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730B8817">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Alterazione volontaria e non autorizzata di dati di business</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BEB8173">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1FB34C1">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4</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21C87856">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4BB20B23">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1744C545">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7F3178DD">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Azioni non autorizzate</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2804D1BB">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Virus (malware, anche per mobile)</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73A35D8">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2</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8EF1440">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8</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FFF66"/>
            <w:vAlign w:val="center"/>
          </w:tcPr>
          <w:p w14:paraId="7E05A6DD">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Medio</w:t>
            </w:r>
          </w:p>
        </w:tc>
      </w:tr>
      <w:tr w14:paraId="11DDCEAD">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765"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5EFF665B">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21EC1BF0">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Azioni non autorizzate</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50EE97D2">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Accesso non autorizzato alla rete (anche tramite AP wireless non autorizzati)</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7F38C51">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2</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2566084">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8</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FFF66"/>
            <w:vAlign w:val="center"/>
          </w:tcPr>
          <w:p w14:paraId="6BE08C5A">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Medio</w:t>
            </w:r>
          </w:p>
        </w:tc>
      </w:tr>
      <w:tr w14:paraId="744351F5">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765"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49D8740D">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05D768C3">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Azioni non autorizzate</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72006B42">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Uso non autorizzato della rete da parte degli utenti o abuso delle autorizzazioni</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FB587D0">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2</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1E1CF17">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8</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FFF66"/>
            <w:vAlign w:val="center"/>
          </w:tcPr>
          <w:p w14:paraId="79D35828">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Medio</w:t>
            </w:r>
          </w:p>
        </w:tc>
      </w:tr>
      <w:tr w14:paraId="46677E38">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765"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62DAD511">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7776FC19">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Azioni non autorizzate</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224F55DD">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Trattamento (volontario o inconsapevole) non consentito di dati (personali)</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F617618">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836FA55">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4</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5109FC15">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585A5510">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263"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50C5B742">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4C099CA2">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Compromissione di funzioni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079D1903">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Errori degli utenti di business</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08AD4ED">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C720794">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4</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5AB75206">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2A007B9E">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765"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41763EFC">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54EF9E9E">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Compromissione di funzioni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2315715D">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Uso dei servizi da parte di persone non autorizzate o elevamento di privilegi.</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A4EEFF1">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2C6F714">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4</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7044F77B">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5FDBFB14">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23C4E64A">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205FFBD8">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Compromissione di funzioni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1775BBD4">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Degrado dei media (memorie di massa)</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69544D8">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2</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02F2E09">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2</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75832E99">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15BDB602">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0DB71B5C">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1FAAB14E">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Compromissione di funzioni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46A5CD60">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Uso di servizi in modo non autorizzato</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EC2F16D">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2</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D8529DD">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8</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FFF66"/>
            <w:vAlign w:val="center"/>
          </w:tcPr>
          <w:p w14:paraId="6A7A7578">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Medio</w:t>
            </w:r>
          </w:p>
        </w:tc>
      </w:tr>
      <w:tr w14:paraId="59DE2C5F">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4F739793">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Sicinfo</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451C11FA">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Compromissione di funzioni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7C854AD7">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Furto identità</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6793F00">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2</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3CAFD0B">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8</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FFF66"/>
            <w:vAlign w:val="center"/>
          </w:tcPr>
          <w:p w14:paraId="4B138099">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Medio</w:t>
            </w:r>
          </w:p>
        </w:tc>
      </w:tr>
      <w:tr w14:paraId="24010096">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510"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4842CCEC">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Privacy</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6414A690">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Trattamento dati personali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304F3B68">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Eccessiva raccolta di dati personali</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08EAD41">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453EC23">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4</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30F6BB58">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61FF5951">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765"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1606972F">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Privacy</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3CCFEE86">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Trattamento dati personali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2EF86890">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Collegamenti o raffronti inappropriati o non autorizzati di dati personali</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09FE5DFC">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15799B5">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4</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308143F9">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72054C9D">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1275"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4C2936C3">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Privacy</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5D27F0A4">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Trattamento dati personali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639D9E8E">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Divulgazione o riuso per finalità diverse dei dati personali senza la consapevolezza e/o il consenso degli interessati</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961CA2E">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2</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631F03B">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8</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FFF66"/>
            <w:vAlign w:val="center"/>
          </w:tcPr>
          <w:p w14:paraId="3721F869">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Medio</w:t>
            </w:r>
          </w:p>
        </w:tc>
      </w:tr>
      <w:tr w14:paraId="1B84A2A3">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765"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7DC5526A">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Privacy</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77F62EDF">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Trattamento dati personali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21AE8351">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Conservazione immotivamente prolungata dei dati personali</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123F2466">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673AF247">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4</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2ED8B206">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48ABB8E2">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765"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2959AE24">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Privacy</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64199FF6">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Trattamento dati personali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50E18AB2">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Inesattezza o mancato aggiornamento dei dati personali</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FA62F37">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45E9E07A">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5797E789">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r w14:paraId="27911205">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765"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1E2FB7E6">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Privacy</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4FE51EBC">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Trattamento dati personali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7AC98845">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Violazione delle istruzioni ricevute in materia di dati personali</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3C33F1F4">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2</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7CB3092A">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8</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FFFF66"/>
            <w:vAlign w:val="center"/>
          </w:tcPr>
          <w:p w14:paraId="7444C238">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Medio</w:t>
            </w:r>
          </w:p>
        </w:tc>
      </w:tr>
      <w:tr w14:paraId="16D1EB4D">
        <w:tblPrEx>
          <w:tblBorders>
            <w:top w:val="single" w:color="00000A" w:sz="4" w:space="0"/>
            <w:left w:val="single" w:color="00000A" w:sz="4" w:space="0"/>
            <w:bottom w:val="single" w:color="00000A" w:sz="4" w:space="0"/>
            <w:right w:val="single" w:color="00000A" w:sz="4" w:space="0"/>
            <w:insideH w:val="single" w:color="00000A" w:sz="4" w:space="0"/>
            <w:insideV w:val="single" w:color="00000A" w:sz="4" w:space="0"/>
          </w:tblBorders>
          <w:tblCellMar>
            <w:top w:w="0" w:type="dxa"/>
            <w:left w:w="70" w:type="dxa"/>
            <w:bottom w:w="0" w:type="dxa"/>
            <w:right w:w="70" w:type="dxa"/>
          </w:tblCellMar>
        </w:tblPrEx>
        <w:trPr>
          <w:trHeight w:val="765" w:hRule="atLeast"/>
        </w:trPr>
        <w:tc>
          <w:tcPr>
            <w:tcW w:w="1463"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0070C0"/>
            <w:vAlign w:val="center"/>
          </w:tcPr>
          <w:p w14:paraId="541A00D0">
            <w:pPr>
              <w:spacing w:before="0" w:after="0" w:line="240" w:lineRule="auto"/>
              <w:ind w:right="0" w:firstLine="0"/>
              <w:jc w:val="center"/>
              <w:rPr>
                <w:rFonts w:eastAsia="Times New Roman" w:cs="Calibri Light"/>
                <w:color w:val="FFFFFF"/>
                <w:kern w:val="0"/>
                <w:sz w:val="20"/>
                <w:szCs w:val="20"/>
                <w14:ligatures w14:val="none"/>
              </w:rPr>
            </w:pPr>
            <w:r>
              <w:rPr>
                <w:rFonts w:eastAsia="Times New Roman" w:cs="Calibri Light"/>
                <w:color w:val="FFFFFF"/>
                <w:kern w:val="0"/>
                <w:sz w:val="20"/>
                <w:szCs w:val="20"/>
                <w14:ligatures w14:val="none"/>
              </w:rPr>
              <w:t>Privacy</w:t>
            </w:r>
          </w:p>
        </w:tc>
        <w:tc>
          <w:tcPr>
            <w:tcW w:w="1492"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BC2E6"/>
            <w:vAlign w:val="center"/>
          </w:tcPr>
          <w:p w14:paraId="5F1EA541">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Trattamento dati personali</w:t>
            </w:r>
          </w:p>
        </w:tc>
        <w:tc>
          <w:tcPr>
            <w:tcW w:w="2081"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BDD7EE"/>
          </w:tcPr>
          <w:p w14:paraId="366D08B0">
            <w:pPr>
              <w:spacing w:before="0" w:after="0" w:line="240" w:lineRule="auto"/>
              <w:ind w:right="0" w:firstLine="0"/>
              <w:jc w:val="left"/>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Trasferimento dati personali extra UE senza garanzie di adeguatezza</w:t>
            </w:r>
          </w:p>
        </w:tc>
        <w:tc>
          <w:tcPr>
            <w:tcW w:w="1618"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2DB6CCA7">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1</w:t>
            </w:r>
          </w:p>
        </w:tc>
        <w:tc>
          <w:tcPr>
            <w:tcW w:w="1466"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auto" w:fill="auto"/>
            <w:vAlign w:val="center"/>
          </w:tcPr>
          <w:p w14:paraId="54CE052C">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4</w:t>
            </w:r>
          </w:p>
        </w:tc>
        <w:tc>
          <w:tcPr>
            <w:tcW w:w="1517" w:type="dxa"/>
            <w:tcBorders>
              <w:top w:val="single" w:color="00000A" w:sz="4" w:space="0"/>
              <w:left w:val="single" w:color="00000A" w:sz="4" w:space="0"/>
              <w:bottom w:val="single" w:color="00000A" w:sz="4" w:space="0"/>
              <w:right w:val="single" w:color="00000A" w:sz="4" w:space="0"/>
              <w:insideH w:val="single" w:sz="4" w:space="0"/>
              <w:insideV w:val="single" w:sz="4" w:space="0"/>
            </w:tcBorders>
            <w:shd w:val="clear" w:color="000000" w:fill="99CC00"/>
            <w:vAlign w:val="center"/>
          </w:tcPr>
          <w:p w14:paraId="64EF6A84">
            <w:pPr>
              <w:spacing w:before="0" w:after="0" w:line="240" w:lineRule="auto"/>
              <w:ind w:right="0" w:firstLine="0"/>
              <w:jc w:val="center"/>
              <w:rPr>
                <w:rFonts w:eastAsia="Times New Roman" w:cs="Calibri Light"/>
                <w:color w:val="00000A"/>
                <w:kern w:val="0"/>
                <w:sz w:val="20"/>
                <w:szCs w:val="20"/>
                <w14:ligatures w14:val="none"/>
              </w:rPr>
            </w:pPr>
            <w:r>
              <w:rPr>
                <w:rFonts w:eastAsia="Times New Roman" w:cs="Calibri Light"/>
                <w:color w:val="00000A"/>
                <w:kern w:val="0"/>
                <w:sz w:val="20"/>
                <w:szCs w:val="20"/>
                <w14:ligatures w14:val="none"/>
              </w:rPr>
              <w:t>Basso</w:t>
            </w:r>
          </w:p>
        </w:tc>
      </w:tr>
    </w:tbl>
    <w:p w14:paraId="2D76032A">
      <w:pPr>
        <w:spacing w:before="0" w:after="160" w:line="259" w:lineRule="auto"/>
        <w:ind w:right="0" w:firstLine="0"/>
        <w:jc w:val="left"/>
        <w:rPr>
          <w:highlight w:val="green"/>
        </w:rPr>
      </w:pPr>
      <w:r>
        <w:br w:type="page"/>
      </w:r>
    </w:p>
    <w:p w14:paraId="71A08066">
      <w:pPr>
        <w:pStyle w:val="4"/>
      </w:pPr>
      <w:bookmarkStart w:id="47" w:name="_Toc170470213"/>
      <w:bookmarkStart w:id="48" w:name="_Toc211869172"/>
      <w:r>
        <w:t>Mappatura del rischio</w:t>
      </w:r>
      <w:bookmarkEnd w:id="47"/>
      <w:bookmarkEnd w:id="48"/>
    </w:p>
    <w:p w14:paraId="15276C6F">
      <w:pPr>
        <w:spacing w:line="276" w:lineRule="auto"/>
      </w:pPr>
    </w:p>
    <w:p w14:paraId="3036D125">
      <w:pPr>
        <w:spacing w:line="276" w:lineRule="auto"/>
      </w:pPr>
      <w:r>
        <w:t xml:space="preserve">Questo grafico rappresenta la mappatura del rischio per gli indicatori R (Riservatezza), I (Integrità) e D (Disponibilità). Visualizza il livello di rischio per ciascun indicatore, mostrando la relazione tra la gravità potenziale e la probabilità di occorrenza. I punti nel grafico indicano la posizione di ogni indicatore, consentendo una rapida valutazione e confronto dei rischi associati prima e dopo l’applicazione delle misure </w:t>
      </w:r>
      <w:commentRangeStart w:id="0"/>
      <w:r>
        <w:t>correttive</w:t>
      </w:r>
      <w:commentRangeEnd w:id="0"/>
      <w:r>
        <w:commentReference w:id="0"/>
      </w:r>
      <w:r>
        <w:t>.</w:t>
      </w:r>
    </w:p>
    <w:p w14:paraId="2C77833C">
      <w:pPr>
        <w:spacing w:before="0" w:after="0" w:line="300" w:lineRule="auto"/>
        <w:ind w:right="0" w:firstLine="0"/>
        <w:jc w:val="left"/>
      </w:pPr>
      <w:r>
        <w:drawing>
          <wp:inline distT="0" distB="0" distL="0" distR="0">
            <wp:extent cx="6120130" cy="5569585"/>
            <wp:effectExtent l="0" t="0" r="0" b="0"/>
            <wp:docPr id="16"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4"/>
                    <pic:cNvPicPr>
                      <a:picLocks noChangeAspect="1" noChangeArrowheads="1"/>
                    </pic:cNvPicPr>
                  </pic:nvPicPr>
                  <pic:blipFill>
                    <a:blip r:embed="rId16"/>
                    <a:stretch>
                      <a:fillRect/>
                    </a:stretch>
                  </pic:blipFill>
                  <pic:spPr>
                    <a:xfrm>
                      <a:off x="0" y="0"/>
                      <a:ext cx="6120130" cy="5569585"/>
                    </a:xfrm>
                    <a:prstGeom prst="rect">
                      <a:avLst/>
                    </a:prstGeom>
                  </pic:spPr>
                </pic:pic>
              </a:graphicData>
            </a:graphic>
          </wp:inline>
        </w:drawing>
      </w:r>
      <w:r>
        <mc:AlternateContent>
          <mc:Choice Requires="wps">
            <w:drawing>
              <wp:anchor distT="0" distB="0" distL="114300" distR="114300" simplePos="0" relativeHeight="251659264" behindDoc="0" locked="0" layoutInCell="1" allowOverlap="1">
                <wp:simplePos x="0" y="0"/>
                <wp:positionH relativeFrom="character">
                  <wp:posOffset>1546860</wp:posOffset>
                </wp:positionH>
                <wp:positionV relativeFrom="line">
                  <wp:posOffset>2063115</wp:posOffset>
                </wp:positionV>
                <wp:extent cx="289560" cy="289560"/>
                <wp:effectExtent l="0" t="0" r="17145" b="17145"/>
                <wp:wrapNone/>
                <wp:docPr id="10" name="Ovale 15"/>
                <wp:cNvGraphicFramePr/>
                <a:graphic xmlns:a="http://schemas.openxmlformats.org/drawingml/2006/main">
                  <a:graphicData uri="http://schemas.microsoft.com/office/word/2010/wordprocessingShape">
                    <wps:wsp>
                      <wps:cNvSpPr/>
                      <wps:spPr>
                        <a:xfrm>
                          <a:off x="0" y="0"/>
                          <a:ext cx="289080" cy="289080"/>
                        </a:xfrm>
                        <a:prstGeom prst="ellipse">
                          <a:avLst/>
                        </a:prstGeom>
                        <a:solidFill>
                          <a:srgbClr val="0070C0"/>
                        </a:solidFill>
                        <a:ln w="25560">
                          <a:solidFill>
                            <a:srgbClr val="FF5050"/>
                          </a:solidFill>
                        </a:ln>
                      </wps:spPr>
                      <wps:style>
                        <a:lnRef idx="2">
                          <a:schemeClr val="accent1">
                            <a:shade val="15000"/>
                          </a:schemeClr>
                        </a:lnRef>
                        <a:fillRef idx="1">
                          <a:schemeClr val="accent1"/>
                        </a:fillRef>
                        <a:effectRef idx="0">
                          <a:schemeClr val="accent1"/>
                        </a:effectRef>
                        <a:fontRef idx="minor"/>
                      </wps:style>
                      <wps:txbx>
                        <w:txbxContent>
                          <w:p w14:paraId="7A6D813F">
                            <w:pPr>
                              <w:pStyle w:val="342"/>
                              <w:spacing w:before="0" w:after="3"/>
                              <w:jc w:val="center"/>
                            </w:pPr>
                            <w:r>
                              <w:rPr>
                                <w:b/>
                                <w:bCs/>
                                <w:color w:val="FFFFFF"/>
                              </w:rPr>
                              <w:t>R</w:t>
                            </w:r>
                          </w:p>
                        </w:txbxContent>
                      </wps:txbx>
                      <wps:bodyPr lIns="0" tIns="0" rIns="0" bIns="0" anchor="ctr">
                        <a:noAutofit/>
                      </wps:bodyPr>
                    </wps:wsp>
                  </a:graphicData>
                </a:graphic>
              </wp:anchor>
            </w:drawing>
          </mc:Choice>
          <mc:Fallback>
            <w:pict>
              <v:shape id="Ovale 15" o:spid="_x0000_s1026" o:spt="3" type="#_x0000_t3" style="position:absolute;left:0pt;margin-left:121.8pt;margin-top:162.45pt;height:22.8pt;width:22.8pt;mso-position-horizontal-relative:char;mso-position-vertical-relative:line;z-index:251659264;v-text-anchor:middle;mso-width-relative:page;mso-height-relative:page;" fillcolor="#0070C0" filled="t" stroked="t" coordsize="21600,21600" o:gfxdata="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&#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LoWzTfAAAACwEAAA8AAAAAAAAAAQAgAAAAIgAAAGRy&#10;cy9kb3ducmV2LnhtbFBLAQIUABQAAAAIAIdO4kDj7bU+/gEAADAEAAAOAAAAAAAAAAEAIAAAAC4B&#10;AABkcnMvZTJvRG9jLnhtbFBLBQYAAAAABgAGAFkBAACeBQAAAAA=&#10;">
                <v:fill on="t" focussize="0,0"/>
                <v:stroke weight="2.01259842519685pt" color="#FF5050 [3204]" miterlimit="8" joinstyle="miter"/>
                <v:imagedata o:title=""/>
                <o:lock v:ext="edit" aspectratio="f"/>
                <v:textbox inset="0mm,0mm,0mm,0mm">
                  <w:txbxContent>
                    <w:p w14:paraId="7A6D813F">
                      <w:pPr>
                        <w:pStyle w:val="342"/>
                        <w:spacing w:before="0" w:after="3"/>
                        <w:jc w:val="center"/>
                      </w:pPr>
                      <w:r>
                        <w:rPr>
                          <w:b/>
                          <w:bCs/>
                          <w:color w:val="FFFFFF"/>
                        </w:rPr>
                        <w:t>R</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haracter">
                  <wp:posOffset>1532255</wp:posOffset>
                </wp:positionH>
                <wp:positionV relativeFrom="line">
                  <wp:posOffset>2400300</wp:posOffset>
                </wp:positionV>
                <wp:extent cx="289560" cy="289560"/>
                <wp:effectExtent l="0" t="0" r="17145" b="17145"/>
                <wp:wrapNone/>
                <wp:docPr id="12" name="Ovale 15"/>
                <wp:cNvGraphicFramePr/>
                <a:graphic xmlns:a="http://schemas.openxmlformats.org/drawingml/2006/main">
                  <a:graphicData uri="http://schemas.microsoft.com/office/word/2010/wordprocessingShape">
                    <wps:wsp>
                      <wps:cNvSpPr/>
                      <wps:spPr>
                        <a:xfrm>
                          <a:off x="0" y="0"/>
                          <a:ext cx="289080" cy="289080"/>
                        </a:xfrm>
                        <a:prstGeom prst="ellipse">
                          <a:avLst/>
                        </a:prstGeom>
                        <a:solidFill>
                          <a:srgbClr val="0070C0"/>
                        </a:solidFill>
                        <a:ln w="25560">
                          <a:solidFill>
                            <a:srgbClr val="FF5050"/>
                          </a:solidFill>
                        </a:ln>
                      </wps:spPr>
                      <wps:style>
                        <a:lnRef idx="2">
                          <a:schemeClr val="accent1">
                            <a:shade val="15000"/>
                          </a:schemeClr>
                        </a:lnRef>
                        <a:fillRef idx="1">
                          <a:schemeClr val="accent1"/>
                        </a:fillRef>
                        <a:effectRef idx="0">
                          <a:schemeClr val="accent1"/>
                        </a:effectRef>
                        <a:fontRef idx="minor"/>
                      </wps:style>
                      <wps:txbx>
                        <w:txbxContent>
                          <w:p w14:paraId="3EAFB29D">
                            <w:pPr>
                              <w:pStyle w:val="342"/>
                              <w:spacing w:before="0" w:after="3"/>
                              <w:jc w:val="center"/>
                            </w:pPr>
                            <w:r>
                              <w:rPr>
                                <w:b/>
                                <w:bCs/>
                                <w:color w:val="FFFFFF"/>
                              </w:rPr>
                              <w:t>D</w:t>
                            </w:r>
                          </w:p>
                        </w:txbxContent>
                      </wps:txbx>
                      <wps:bodyPr lIns="0" tIns="0" rIns="0" bIns="0" anchor="ctr">
                        <a:noAutofit/>
                      </wps:bodyPr>
                    </wps:wsp>
                  </a:graphicData>
                </a:graphic>
              </wp:anchor>
            </w:drawing>
          </mc:Choice>
          <mc:Fallback>
            <w:pict>
              <v:shape id="Ovale 15" o:spid="_x0000_s1026" o:spt="3" type="#_x0000_t3" style="position:absolute;left:0pt;margin-left:120.65pt;margin-top:189pt;height:22.8pt;width:22.8pt;mso-position-horizontal-relative:char;mso-position-vertical-relative:line;z-index:251659264;v-text-anchor:middle;mso-width-relative:page;mso-height-relative:page;" fillcolor="#0070C0" filled="t" stroked="t" coordsize="21600,21600" o:gfxdata="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&#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DCohXeAAAACwEAAA8AAAAAAAAAAQAgAAAAIgAAAGRy&#10;cy9kb3ducmV2LnhtbFBLAQIUABQAAAAIAIdO4kAOPVUM/wEAADAEAAAOAAAAAAAAAAEAIAAAAC0B&#10;AABkcnMvZTJvRG9jLnhtbFBLBQYAAAAABgAGAFkBAACeBQAAAAA=&#10;">
                <v:fill on="t" focussize="0,0"/>
                <v:stroke weight="2.01259842519685pt" color="#FF5050 [3204]" miterlimit="8" joinstyle="miter"/>
                <v:imagedata o:title=""/>
                <o:lock v:ext="edit" aspectratio="f"/>
                <v:textbox inset="0mm,0mm,0mm,0mm">
                  <w:txbxContent>
                    <w:p w14:paraId="3EAFB29D">
                      <w:pPr>
                        <w:pStyle w:val="342"/>
                        <w:spacing w:before="0" w:after="3"/>
                        <w:jc w:val="center"/>
                      </w:pPr>
                      <w:r>
                        <w:rPr>
                          <w:b/>
                          <w:bCs/>
                          <w:color w:val="FFFFFF"/>
                        </w:rPr>
                        <w:t>D</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haracter">
                  <wp:posOffset>1985010</wp:posOffset>
                </wp:positionH>
                <wp:positionV relativeFrom="line">
                  <wp:posOffset>2406015</wp:posOffset>
                </wp:positionV>
                <wp:extent cx="252095" cy="281940"/>
                <wp:effectExtent l="0" t="0" r="15240" b="23495"/>
                <wp:wrapNone/>
                <wp:docPr id="14" name="Ovale 15"/>
                <wp:cNvGraphicFramePr/>
                <a:graphic xmlns:a="http://schemas.openxmlformats.org/drawingml/2006/main">
                  <a:graphicData uri="http://schemas.microsoft.com/office/word/2010/wordprocessingShape">
                    <wps:wsp>
                      <wps:cNvSpPr/>
                      <wps:spPr>
                        <a:xfrm>
                          <a:off x="0" y="0"/>
                          <a:ext cx="251640" cy="281160"/>
                        </a:xfrm>
                        <a:prstGeom prst="ellipse">
                          <a:avLst/>
                        </a:prstGeom>
                        <a:solidFill>
                          <a:srgbClr val="0070C0"/>
                        </a:solidFill>
                        <a:ln w="25560">
                          <a:solidFill>
                            <a:srgbClr val="FF5050"/>
                          </a:solidFill>
                          <a:miter/>
                        </a:ln>
                      </wps:spPr>
                      <wps:style>
                        <a:lnRef idx="0">
                          <a:srgbClr val="FFFFFF"/>
                        </a:lnRef>
                        <a:fillRef idx="0">
                          <a:srgbClr val="FFFFFF"/>
                        </a:fillRef>
                        <a:effectRef idx="0">
                          <a:srgbClr val="FFFFFF"/>
                        </a:effectRef>
                        <a:fontRef idx="minor"/>
                      </wps:style>
                      <wps:txbx>
                        <w:txbxContent>
                          <w:p w14:paraId="6EA7BABF">
                            <w:pPr>
                              <w:pStyle w:val="342"/>
                              <w:spacing w:before="0" w:after="3"/>
                              <w:jc w:val="center"/>
                            </w:pPr>
                            <w:r>
                              <w:rPr>
                                <w:b/>
                                <w:bCs/>
                                <w:color w:val="FFFFFF" w:themeColor="background1"/>
                                <w14:textFill>
                                  <w14:solidFill>
                                    <w14:schemeClr w14:val="bg1"/>
                                  </w14:solidFill>
                                </w14:textFill>
                              </w:rPr>
                              <w:t>I</w:t>
                            </w:r>
                          </w:p>
                        </w:txbxContent>
                      </wps:txbx>
                      <wps:bodyPr lIns="0" tIns="0" rIns="0" bIns="0" anchor="ctr">
                        <a:noAutofit/>
                      </wps:bodyPr>
                    </wps:wsp>
                  </a:graphicData>
                </a:graphic>
              </wp:anchor>
            </w:drawing>
          </mc:Choice>
          <mc:Fallback>
            <w:pict>
              <v:shape id="Ovale 15" o:spid="_x0000_s1026" o:spt="3" type="#_x0000_t3" style="position:absolute;left:0pt;margin-left:156.3pt;margin-top:189.45pt;height:22.2pt;width:19.85pt;mso-position-horizontal-relative:char;mso-position-vertical-relative:line;z-index:251659264;v-text-anchor:middle;mso-width-relative:page;mso-height-relative:page;" fillcolor="#0070C0" filled="t" stroked="t" coordsize="21600,21600" o:gfxdata="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ugp1x3wAAAAsBAAAP&#10;AAAAAAAAAAEAIAAAACIAAABkcnMvZG93bnJldi54bWxQSwECFAAUAAAACACHTuJA1DHl1dgBAADp&#10;AwAADgAAAAAAAAABACAAAAAuAQAAZHJzL2Uyb0RvYy54bWxQSwUGAAAAAAYABgBZAQAAeAUAAAAA&#10;">
                <v:fill on="t" focussize="0,0"/>
                <v:stroke weight="2.01259842519685pt" color="#FF5050" joinstyle="miter"/>
                <v:imagedata o:title=""/>
                <o:lock v:ext="edit" aspectratio="f"/>
                <v:textbox inset="0mm,0mm,0mm,0mm">
                  <w:txbxContent>
                    <w:p w14:paraId="6EA7BABF">
                      <w:pPr>
                        <w:pStyle w:val="342"/>
                        <w:spacing w:before="0" w:after="3"/>
                        <w:jc w:val="center"/>
                      </w:pPr>
                      <w:r>
                        <w:rPr>
                          <w:b/>
                          <w:bCs/>
                          <w:color w:val="FFFFFF" w:themeColor="background1"/>
                          <w14:textFill>
                            <w14:solidFill>
                              <w14:schemeClr w14:val="bg1"/>
                            </w14:solidFill>
                          </w14:textFill>
                        </w:rPr>
                        <w:t>I</w:t>
                      </w:r>
                    </w:p>
                  </w:txbxContent>
                </v:textbox>
              </v:shape>
            </w:pict>
          </mc:Fallback>
        </mc:AlternateContent>
      </w:r>
    </w:p>
    <w:p w14:paraId="475B67E4">
      <w:pPr>
        <w:spacing w:before="0" w:after="160" w:line="259" w:lineRule="auto"/>
        <w:ind w:right="0" w:firstLine="0"/>
        <w:jc w:val="left"/>
      </w:pPr>
      <w:r>
        <mc:AlternateContent>
          <mc:Choice Requires="wps">
            <w:drawing>
              <wp:anchor distT="0" distB="0" distL="114300" distR="114300" simplePos="0" relativeHeight="251659264" behindDoc="1" locked="0" layoutInCell="1" allowOverlap="1">
                <wp:simplePos x="0" y="0"/>
                <wp:positionH relativeFrom="character">
                  <wp:posOffset>0</wp:posOffset>
                </wp:positionH>
                <wp:positionV relativeFrom="line">
                  <wp:posOffset>1270</wp:posOffset>
                </wp:positionV>
                <wp:extent cx="180975" cy="180975"/>
                <wp:effectExtent l="0" t="0" r="10795" b="10795"/>
                <wp:wrapTight wrapText="bothSides">
                  <wp:wrapPolygon>
                    <wp:start x="0" y="0"/>
                    <wp:lineTo x="0" y="20608"/>
                    <wp:lineTo x="20608" y="20608"/>
                    <wp:lineTo x="20608" y="0"/>
                    <wp:lineTo x="0" y="0"/>
                  </wp:wrapPolygon>
                </wp:wrapTight>
                <wp:docPr id="17" name="Ovale 15"/>
                <wp:cNvGraphicFramePr/>
                <a:graphic xmlns:a="http://schemas.openxmlformats.org/drawingml/2006/main">
                  <a:graphicData uri="http://schemas.microsoft.com/office/word/2010/wordprocessingShape">
                    <wps:wsp>
                      <wps:cNvSpPr/>
                      <wps:spPr>
                        <a:xfrm>
                          <a:off x="0" y="0"/>
                          <a:ext cx="180360" cy="180360"/>
                        </a:xfrm>
                        <a:prstGeom prst="ellipse">
                          <a:avLst/>
                        </a:prstGeom>
                        <a:solidFill>
                          <a:srgbClr val="FF5050"/>
                        </a:solidFill>
                        <a:ln w="25560">
                          <a:solidFill>
                            <a:srgbClr val="FF5050"/>
                          </a:solidFill>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w:pict>
              <v:shape id="Ovale 15" o:spid="_x0000_s1026" o:spt="3" type="#_x0000_t3" style="position:absolute;left:0pt;margin-left:0pt;margin-top:0.1pt;height:14.25pt;width:14.25pt;mso-position-horizontal-relative:char;mso-position-vertical-relative:line;mso-wrap-distance-left:9pt;mso-wrap-distance-right:9pt;z-index:-251657216;mso-width-relative:page;mso-height-relative:page;" fillcolor="#FF5050" filled="t" stroked="t" coordsize="21600,21600" wrapcoords="0 0 0 20608 20608 20608 20608 0 0 0" o:gfxdata="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2V2M1QAAAAMBAAAPAAAAAAAAAAEAIAAAACIA&#10;AABkcnMvZG93bnJldi54bWxQSwECFAAUAAAACACHTuJAMoKRRtMBAADaAwAADgAAAAAAAAABACAA&#10;AAAkAQAAZHJzL2Uyb0RvYy54bWxQSwUGAAAAAAYABgBZAQAAaQUAAAAA&#10;">
                <v:fill on="t" focussize="0,0"/>
                <v:stroke weight="2.01259842519685pt" color="#FF5050 [3204]" miterlimit="8" joinstyle="miter"/>
                <v:imagedata o:title=""/>
                <o:lock v:ext="edit" aspectratio="f"/>
                <w10:wrap type="tight"/>
              </v:shape>
            </w:pict>
          </mc:Fallback>
        </mc:AlternateContent>
      </w:r>
      <w:r>
        <w:t>Mappatura del rischio con le misure esistenti</w:t>
      </w:r>
    </w:p>
    <w:p w14:paraId="5421480C">
      <w:pPr>
        <w:spacing w:before="0" w:after="160" w:line="259" w:lineRule="auto"/>
        <w:ind w:right="0" w:firstLine="0"/>
        <w:jc w:val="left"/>
      </w:pPr>
      <w:r>
        <mc:AlternateContent>
          <mc:Choice Requires="wps">
            <w:drawing>
              <wp:anchor distT="0" distB="0" distL="114300" distR="114300" simplePos="0" relativeHeight="251659264" behindDoc="1" locked="0" layoutInCell="1" allowOverlap="1">
                <wp:simplePos x="0" y="0"/>
                <wp:positionH relativeFrom="character">
                  <wp:posOffset>0</wp:posOffset>
                </wp:positionH>
                <wp:positionV relativeFrom="line">
                  <wp:posOffset>635</wp:posOffset>
                </wp:positionV>
                <wp:extent cx="180975" cy="180975"/>
                <wp:effectExtent l="0" t="0" r="10795" b="10795"/>
                <wp:wrapTight wrapText="bothSides">
                  <wp:wrapPolygon>
                    <wp:start x="0" y="0"/>
                    <wp:lineTo x="0" y="20608"/>
                    <wp:lineTo x="20608" y="20608"/>
                    <wp:lineTo x="20608" y="0"/>
                    <wp:lineTo x="0" y="0"/>
                  </wp:wrapPolygon>
                </wp:wrapTight>
                <wp:docPr id="18" name="Ovale 15"/>
                <wp:cNvGraphicFramePr/>
                <a:graphic xmlns:a="http://schemas.openxmlformats.org/drawingml/2006/main">
                  <a:graphicData uri="http://schemas.microsoft.com/office/word/2010/wordprocessingShape">
                    <wps:wsp>
                      <wps:cNvSpPr/>
                      <wps:spPr>
                        <a:xfrm>
                          <a:off x="0" y="0"/>
                          <a:ext cx="180360" cy="180360"/>
                        </a:xfrm>
                        <a:prstGeom prst="ellipse">
                          <a:avLst/>
                        </a:prstGeom>
                        <a:solidFill>
                          <a:srgbClr val="0070C0"/>
                        </a:solidFill>
                        <a:ln w="25560">
                          <a:solidFill>
                            <a:srgbClr val="0070C0"/>
                          </a:solidFill>
                        </a:ln>
                      </wps:spPr>
                      <wps:style>
                        <a:lnRef idx="2">
                          <a:schemeClr val="accent1">
                            <a:shade val="15000"/>
                          </a:schemeClr>
                        </a:lnRef>
                        <a:fillRef idx="1">
                          <a:schemeClr val="accent1"/>
                        </a:fillRef>
                        <a:effectRef idx="0">
                          <a:schemeClr val="accent1"/>
                        </a:effectRef>
                        <a:fontRef idx="minor"/>
                      </wps:style>
                      <wps:txbx>
                        <w:txbxContent>
                          <w:p w14:paraId="5C735B75">
                            <w:pPr>
                              <w:pStyle w:val="342"/>
                              <w:spacing w:before="0" w:after="3"/>
                              <w:jc w:val="center"/>
                            </w:pPr>
                            <w:r>
                              <w:rPr>
                                <w:color w:val="FFFFFF"/>
                              </w:rPr>
                              <w:t>R</w:t>
                            </w:r>
                          </w:p>
                        </w:txbxContent>
                      </wps:txbx>
                      <wps:bodyPr anchor="ctr">
                        <a:noAutofit/>
                      </wps:bodyPr>
                    </wps:wsp>
                  </a:graphicData>
                </a:graphic>
              </wp:anchor>
            </w:drawing>
          </mc:Choice>
          <mc:Fallback>
            <w:pict>
              <v:shape id="Ovale 15" o:spid="_x0000_s1026" o:spt="3" type="#_x0000_t3" style="position:absolute;left:0pt;margin-left:0pt;margin-top:0.05pt;height:14.25pt;width:14.25pt;mso-position-horizontal-relative:char;mso-position-vertical-relative:line;mso-wrap-distance-left:9pt;mso-wrap-distance-right:9pt;z-index:-251657216;v-text-anchor:middle;mso-width-relative:page;mso-height-relative:page;" fillcolor="#0070C0" filled="t" stroked="t" coordsize="21600,21600" wrapcoords="0 0 0 20608 20608 20608 20608 0 0 0" o:gfxdata="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XrWdQA&#10;AAADAQAADwAAAAAAAAABACAAAAAiAAAAZHJzL2Rvd25yZXYueG1sUEsBAhQAFAAAAAgAh07iQBOI&#10;UL7qAQAADAQAAA4AAAAAAAAAAQAgAAAAIwEAAGRycy9lMm9Eb2MueG1sUEsFBgAAAAAGAAYAWQEA&#10;AH8FAAAAAA==&#10;">
                <v:fill on="t" focussize="0,0"/>
                <v:stroke weight="2.01259842519685pt" color="#0070C0 [3204]" miterlimit="8" joinstyle="miter"/>
                <v:imagedata o:title=""/>
                <o:lock v:ext="edit" aspectratio="f"/>
                <v:textbox>
                  <w:txbxContent>
                    <w:p w14:paraId="5C735B75">
                      <w:pPr>
                        <w:pStyle w:val="342"/>
                        <w:spacing w:before="0" w:after="3"/>
                        <w:jc w:val="center"/>
                      </w:pPr>
                      <w:r>
                        <w:rPr>
                          <w:color w:val="FFFFFF"/>
                        </w:rPr>
                        <w:t>R</w:t>
                      </w:r>
                    </w:p>
                  </w:txbxContent>
                </v:textbox>
                <w10:wrap type="tight"/>
              </v:shape>
            </w:pict>
          </mc:Fallback>
        </mc:AlternateContent>
      </w:r>
      <w:r>
        <w:t>Mappatura del rischio considerando le misure correttive proposte</w:t>
      </w: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3" w:type="dxa"/>
          <w:bottom w:w="0" w:type="dxa"/>
          <w:right w:w="108" w:type="dxa"/>
        </w:tblCellMar>
      </w:tblPr>
      <w:tblGrid>
        <w:gridCol w:w="3209"/>
        <w:gridCol w:w="3209"/>
        <w:gridCol w:w="3210"/>
      </w:tblGrid>
      <w:tr w14:paraId="1F1DB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108" w:type="dxa"/>
          </w:tblCellMar>
        </w:tblPrEx>
        <w:tc>
          <w:tcPr>
            <w:tcW w:w="3209" w:type="dxa"/>
            <w:tcBorders>
              <w:top w:val="nil"/>
              <w:left w:val="nil"/>
              <w:bottom w:val="nil"/>
              <w:right w:val="nil"/>
              <w:insideH w:val="nil"/>
              <w:insideV w:val="nil"/>
            </w:tcBorders>
            <w:shd w:val="clear" w:color="auto" w:fill="auto"/>
          </w:tcPr>
          <w:p w14:paraId="337A686D">
            <w:pPr>
              <w:spacing w:before="0" w:after="160" w:line="259" w:lineRule="auto"/>
              <w:ind w:right="0" w:firstLine="0"/>
              <w:jc w:val="left"/>
            </w:pPr>
            <w:r>
              <w:rPr>
                <w:b/>
                <w:bCs/>
              </w:rPr>
              <w:t>R</w:t>
            </w:r>
            <w:r>
              <w:tab/>
            </w:r>
            <w:r>
              <w:t>Riservatezza</w:t>
            </w:r>
          </w:p>
        </w:tc>
        <w:tc>
          <w:tcPr>
            <w:tcW w:w="3209" w:type="dxa"/>
            <w:tcBorders>
              <w:top w:val="nil"/>
              <w:left w:val="nil"/>
              <w:bottom w:val="nil"/>
              <w:right w:val="nil"/>
              <w:insideH w:val="nil"/>
              <w:insideV w:val="nil"/>
            </w:tcBorders>
            <w:shd w:val="clear" w:color="auto" w:fill="auto"/>
          </w:tcPr>
          <w:p w14:paraId="45BB0413">
            <w:pPr>
              <w:spacing w:before="0" w:after="160" w:line="259" w:lineRule="auto"/>
              <w:ind w:right="0" w:firstLine="0"/>
              <w:jc w:val="left"/>
            </w:pPr>
            <w:r>
              <w:rPr>
                <w:b/>
                <w:bCs/>
              </w:rPr>
              <w:t>I</w:t>
            </w:r>
            <w:r>
              <w:tab/>
            </w:r>
            <w:r>
              <w:t>Integrità</w:t>
            </w:r>
          </w:p>
        </w:tc>
        <w:tc>
          <w:tcPr>
            <w:tcW w:w="3210" w:type="dxa"/>
            <w:tcBorders>
              <w:top w:val="nil"/>
              <w:left w:val="nil"/>
              <w:bottom w:val="nil"/>
              <w:right w:val="nil"/>
              <w:insideH w:val="nil"/>
              <w:insideV w:val="nil"/>
            </w:tcBorders>
            <w:shd w:val="clear" w:color="auto" w:fill="auto"/>
          </w:tcPr>
          <w:p w14:paraId="3B10A3CF">
            <w:pPr>
              <w:spacing w:before="0" w:after="160" w:line="259" w:lineRule="auto"/>
              <w:ind w:right="0" w:firstLine="0"/>
              <w:jc w:val="left"/>
            </w:pPr>
            <w:r>
              <w:rPr>
                <w:b/>
                <w:bCs/>
              </w:rPr>
              <w:t>D</w:t>
            </w:r>
            <w:r>
              <w:tab/>
            </w:r>
            <w:r>
              <w:t>Disponibilità</w:t>
            </w:r>
          </w:p>
        </w:tc>
      </w:tr>
    </w:tbl>
    <w:p w14:paraId="2B648BF8">
      <w:pPr>
        <w:spacing w:before="0" w:after="0" w:line="300" w:lineRule="auto"/>
        <w:ind w:right="0" w:firstLine="0"/>
        <w:jc w:val="left"/>
      </w:pPr>
    </w:p>
    <w:sectPr>
      <w:headerReference r:id="rId11" w:type="default"/>
      <w:footerReference r:id="rId12" w:type="default"/>
      <w:pgSz w:w="11906" w:h="16838"/>
      <w:pgMar w:top="1417" w:right="1134" w:bottom="1134" w:left="1134" w:header="708" w:footer="708" w:gutter="0"/>
      <w:pgNumType w:fmt="decimal"/>
      <w:cols w:space="720" w:num="1"/>
      <w:formProt w:val="0"/>
      <w:docGrid w:linePitch="360"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Emanuele Barbagallo" w:date="2026-09-13T16:06:00Z" w:initials="EB">
    <w:p w14:paraId="43A80129">
      <w:r>
        <w:rPr>
          <w:rFonts w:ascii="Liberation Serif" w:hAnsi="Liberation Serif" w:eastAsia="Segoe UI" w:cs="Tahoma"/>
          <w:color w:val="auto"/>
          <w:kern w:val="0"/>
          <w:lang w:val="en-US" w:eastAsia="en-US" w:bidi="en-US"/>
        </w:rPr>
        <w:t>Ho aggiornato grafico</w:t>
      </w:r>
    </w:p>
    <w:p w14:paraId="5EDDBDF1"/>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EDDBDF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roman"/>
    <w:pitch w:val="default"/>
    <w:sig w:usb0="E4002EFF" w:usb1="C000247B" w:usb2="00000009" w:usb3="00000000" w:csb0="200001FF" w:csb1="00000000"/>
  </w:font>
  <w:font w:name="等线 Light">
    <w:altName w:val="Liberation Mono"/>
    <w:panose1 w:val="00000000000000000000"/>
    <w:charset w:val="00"/>
    <w:family w:val="auto"/>
    <w:pitch w:val="default"/>
    <w:sig w:usb0="00000000" w:usb1="00000000" w:usb2="00000000" w:usb3="00000000" w:csb0="00000000"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Liberation Sans">
    <w:panose1 w:val="020B0604020202020204"/>
    <w:charset w:val="00"/>
    <w:family w:val="swiss"/>
    <w:pitch w:val="default"/>
    <w:sig w:usb0="E0000AFF" w:usb1="500078FF" w:usb2="00000021" w:usb3="00000000" w:csb0="600001BF" w:csb1="DFF70000"/>
  </w:font>
  <w:font w:name="Microsoft YaHei">
    <w:panose1 w:val="020B0503020204020204"/>
    <w:charset w:val="86"/>
    <w:family w:val="auto"/>
    <w:pitch w:val="default"/>
    <w:sig w:usb0="80000287" w:usb1="2ACF3C50" w:usb2="00000016" w:usb3="00000000" w:csb0="0004001F" w:csb1="00000000"/>
  </w:font>
  <w:font w:name="Lucida Sans">
    <w:panose1 w:val="020B0602030504020204"/>
    <w:charset w:val="00"/>
    <w:family w:val="auto"/>
    <w:pitch w:val="default"/>
    <w:sig w:usb0="00000003" w:usb1="00000000" w:usb2="00000000" w:usb3="00000000" w:csb0="20000001" w:csb1="00000000"/>
  </w:font>
  <w:font w:name="等线">
    <w:altName w:val="Microsoft YaHei"/>
    <w:panose1 w:val="00000000000000000000"/>
    <w:charset w:val="00"/>
    <w:family w:val="auto"/>
    <w:pitch w:val="default"/>
    <w:sig w:usb0="00000000" w:usb1="00000000" w:usb2="00000000" w:usb3="00000000" w:csb0="00000000" w:csb1="00000000"/>
  </w:font>
  <w:font w:name="Liberation Serif">
    <w:panose1 w:val="02020603050405020304"/>
    <w:charset w:val="00"/>
    <w:family w:val="roman"/>
    <w:pitch w:val="default"/>
    <w:sig w:usb0="E0000AFF" w:usb1="500078FF" w:usb2="00000021" w:usb3="00000000" w:csb0="600001BF" w:csb1="DFF7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2E340">
    <w:pPr>
      <w:tabs>
        <w:tab w:val="center" w:pos="4550"/>
        <w:tab w:val="left" w:pos="5818"/>
      </w:tabs>
      <w:ind w:right="260" w:firstLine="0"/>
      <w:jc w:val="right"/>
      <w:rPr>
        <w:color w:val="8497B0" w:themeColor="text2" w:themeTint="99"/>
        <w:spacing w:val="60"/>
        <w:sz w:val="20"/>
        <w:szCs w:val="20"/>
        <w14:textFill>
          <w14:solidFill>
            <w14:schemeClr w14:val="tx2">
              <w14:lumMod w14:val="60000"/>
              <w14:lumOff w14:val="40000"/>
            </w14:schemeClr>
          </w14:solidFill>
        </w14:textFill>
      </w:rPr>
    </w:pPr>
    <w:r>
      <w:rPr>
        <w:color w:val="8497B0" w:themeColor="text2" w:themeTint="99"/>
        <w:spacing w:val="60"/>
        <w:sz w:val="20"/>
        <w:szCs w:val="20"/>
        <w14:textFill>
          <w14:solidFill>
            <w14:schemeClr w14:val="tx2">
              <w14:lumMod w14:val="60000"/>
              <w14:lumOff w14:val="40000"/>
            </w14:schemeClr>
          </w14:solidFill>
        </w14:textFill>
      </w:rPr>
      <mc:AlternateContent>
        <mc:Choice Requires="wps">
          <w:drawing>
            <wp:anchor distT="0" distB="0" distL="114300" distR="114300" simplePos="0" relativeHeight="251659264" behindDoc="1" locked="0" layoutInCell="1" allowOverlap="1">
              <wp:simplePos x="0" y="0"/>
              <wp:positionH relativeFrom="column">
                <wp:posOffset>-9525</wp:posOffset>
              </wp:positionH>
              <wp:positionV relativeFrom="paragraph">
                <wp:posOffset>93980</wp:posOffset>
              </wp:positionV>
              <wp:extent cx="6125210" cy="1905"/>
              <wp:effectExtent l="0" t="0" r="0" b="0"/>
              <wp:wrapNone/>
              <wp:docPr id="8" name="Connettore diritto 5"/>
              <wp:cNvGraphicFramePr/>
              <a:graphic xmlns:a="http://schemas.openxmlformats.org/drawingml/2006/main">
                <a:graphicData uri="http://schemas.microsoft.com/office/word/2010/wordprocessingShape">
                  <wps:wsp>
                    <wps:cNvCnPr/>
                    <wps:spPr>
                      <a:xfrm flipH="1">
                        <a:off x="0" y="0"/>
                        <a:ext cx="6124680" cy="0"/>
                      </a:xfrm>
                      <a:prstGeom prst="line">
                        <a:avLst/>
                      </a:prstGeom>
                      <a:ln w="19080"/>
                    </wps:spPr>
                    <wps:style>
                      <a:lnRef idx="1">
                        <a:schemeClr val="accent1"/>
                      </a:lnRef>
                      <a:fillRef idx="0">
                        <a:schemeClr val="accent1"/>
                      </a:fillRef>
                      <a:effectRef idx="0">
                        <a:schemeClr val="accent1"/>
                      </a:effectRef>
                      <a:fontRef idx="minor"/>
                    </wps:style>
                    <wps:bodyPr/>
                  </wps:wsp>
                </a:graphicData>
              </a:graphic>
            </wp:anchor>
          </w:drawing>
        </mc:Choice>
        <mc:Fallback>
          <w:pict>
            <v:line id="Connettore diritto 5" o:spid="_x0000_s1026" o:spt="20" style="position:absolute;left:0pt;flip:x;margin-left:-0.75pt;margin-top:7.4pt;height:0.15pt;width:482.3pt;z-index:-251657216;mso-width-relative:page;mso-height-relative:page;" filled="f" stroked="t" coordsize="21600,21600" o:gfxdata="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eILWONcAAAAIAQAADwAA&#10;AAAAAAABACAAAAAiAAAAZHJzL2Rvd25yZXYueG1sUEsBAhQAFAAAAAgAh07iQK043GLeAQAAvwMA&#10;AA4AAAAAAAAAAQAgAAAAJgEAAGRycy9lMm9Eb2MueG1sUEsFBgAAAAAGAAYAWQEAAHYFAAAAAA==&#10;">
              <v:fill on="f" focussize="0,0"/>
              <v:stroke weight="1.50236220472441pt" color="#4472C4 [3204]" miterlimit="8" joinstyle="miter"/>
              <v:imagedata o:title=""/>
              <o:lock v:ext="edit" aspectratio="f"/>
            </v:line>
          </w:pict>
        </mc:Fallback>
      </mc:AlternateContent>
    </w:r>
  </w:p>
  <w:p w14:paraId="2FCAD5CF">
    <w:pPr>
      <w:tabs>
        <w:tab w:val="center" w:pos="4550"/>
        <w:tab w:val="left" w:pos="5818"/>
      </w:tabs>
      <w:spacing w:before="0" w:after="3"/>
      <w:ind w:right="260" w:firstLine="0"/>
      <w:jc w:val="right"/>
      <w:rPr>
        <w:color w:val="222A35" w:themeColor="text2" w:themeShade="80"/>
        <w:sz w:val="20"/>
        <w:szCs w:val="20"/>
      </w:rPr>
    </w:pPr>
    <w:r>
      <w:rPr>
        <w:color w:val="8497B0" w:themeColor="text2" w:themeTint="99"/>
        <w:spacing w:val="60"/>
        <w:sz w:val="20"/>
        <w:szCs w:val="20"/>
        <w14:textFill>
          <w14:solidFill>
            <w14:schemeClr w14:val="tx2">
              <w14:lumMod w14:val="60000"/>
              <w14:lumOff w14:val="40000"/>
            </w14:schemeClr>
          </w14:solidFill>
        </w14:textFill>
      </w:rPr>
      <w:t>Pag.</w:t>
    </w:r>
    <w:r>
      <w:rPr>
        <w:color w:val="8497B0" w:themeColor="text2" w:themeTint="99"/>
        <w:sz w:val="20"/>
        <w:szCs w:val="20"/>
        <w14:textFill>
          <w14:solidFill>
            <w14:schemeClr w14:val="tx2">
              <w14:lumMod w14:val="60000"/>
              <w14:lumOff w14:val="40000"/>
            </w14:schemeClr>
          </w14:solidFill>
        </w14:textFill>
      </w:rPr>
      <w:t xml:space="preserve"> </w:t>
    </w:r>
    <w:r>
      <w:rPr>
        <w:color w:val="8497B0" w:themeColor="text2" w:themeTint="99"/>
        <w:sz w:val="20"/>
        <w:szCs w:val="20"/>
        <w14:textFill>
          <w14:solidFill>
            <w14:schemeClr w14:val="tx2">
              <w14:lumMod w14:val="60000"/>
              <w14:lumOff w14:val="40000"/>
            </w14:schemeClr>
          </w14:solidFill>
        </w14:textFill>
      </w:rPr>
      <w:fldChar w:fldCharType="begin"/>
    </w:r>
    <w:r>
      <w:rPr>
        <w:sz w:val="20"/>
        <w:szCs w:val="20"/>
      </w:rPr>
      <w:instrText xml:space="preserve">PAGE</w:instrText>
    </w:r>
    <w:r>
      <w:rPr>
        <w:sz w:val="20"/>
        <w:szCs w:val="20"/>
      </w:rPr>
      <w:fldChar w:fldCharType="separate"/>
    </w:r>
    <w:r>
      <w:rPr>
        <w:sz w:val="20"/>
        <w:szCs w:val="20"/>
      </w:rPr>
      <w:t>1</w:t>
    </w:r>
    <w:r>
      <w:rPr>
        <w:sz w:val="20"/>
        <w:szCs w:val="20"/>
      </w:rPr>
      <w:fldChar w:fldCharType="end"/>
    </w:r>
    <w:r>
      <w:rPr>
        <w:color w:val="2E75B6" w:themeColor="accent5" w:themeShade="BF"/>
        <w:sz w:val="20"/>
        <w:szCs w:val="20"/>
      </w:rPr>
      <w:t xml:space="preserve"> | </w:t>
    </w:r>
    <w:r>
      <w:rPr>
        <w:color w:val="2E75B6" w:themeColor="accent5" w:themeShade="BF"/>
        <w:sz w:val="20"/>
        <w:szCs w:val="20"/>
      </w:rPr>
      <w:fldChar w:fldCharType="begin"/>
    </w:r>
    <w:r>
      <w:rPr>
        <w:sz w:val="20"/>
        <w:szCs w:val="20"/>
      </w:rPr>
      <w:instrText xml:space="preserve">NUMPAGES</w:instrText>
    </w:r>
    <w:r>
      <w:rPr>
        <w:sz w:val="20"/>
        <w:szCs w:val="20"/>
      </w:rPr>
      <w:fldChar w:fldCharType="separate"/>
    </w:r>
    <w:r>
      <w:rPr>
        <w:sz w:val="20"/>
        <w:szCs w:val="20"/>
      </w:rPr>
      <w:t>48</w:t>
    </w:r>
    <w:r>
      <w:rPr>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EA679">
    <w:pPr>
      <w:tabs>
        <w:tab w:val="center" w:pos="4550"/>
        <w:tab w:val="left" w:pos="5818"/>
      </w:tabs>
      <w:ind w:right="260" w:firstLine="0"/>
      <w:jc w:val="right"/>
      <w:rPr>
        <w:color w:val="8497B0" w:themeColor="text2" w:themeTint="99"/>
        <w:spacing w:val="60"/>
        <w:sz w:val="20"/>
        <w:szCs w:val="20"/>
        <w14:textFill>
          <w14:solidFill>
            <w14:schemeClr w14:val="tx2">
              <w14:lumMod w14:val="60000"/>
              <w14:lumOff w14:val="40000"/>
            </w14:schemeClr>
          </w14:solidFill>
        </w14:textFill>
      </w:rPr>
    </w:pPr>
    <w:r>
      <w:rPr>
        <w:color w:val="8497B0" w:themeColor="text2" w:themeTint="99"/>
        <w:spacing w:val="60"/>
        <w:sz w:val="20"/>
        <w:szCs w:val="20"/>
        <w14:textFill>
          <w14:solidFill>
            <w14:schemeClr w14:val="tx2">
              <w14:lumMod w14:val="60000"/>
              <w14:lumOff w14:val="40000"/>
            </w14:schemeClr>
          </w14:solidFill>
        </w14:textFill>
      </w:rPr>
      <mc:AlternateContent>
        <mc:Choice Requires="wps">
          <w:drawing>
            <wp:anchor distT="0" distB="0" distL="114300" distR="114300" simplePos="0" relativeHeight="251659264" behindDoc="1" locked="0" layoutInCell="1" allowOverlap="1">
              <wp:simplePos x="0" y="0"/>
              <wp:positionH relativeFrom="column">
                <wp:posOffset>-9525</wp:posOffset>
              </wp:positionH>
              <wp:positionV relativeFrom="paragraph">
                <wp:posOffset>93980</wp:posOffset>
              </wp:positionV>
              <wp:extent cx="6125210" cy="1905"/>
              <wp:effectExtent l="0" t="0" r="0" b="0"/>
              <wp:wrapNone/>
              <wp:docPr id="9" name="Connettore diritto 5"/>
              <wp:cNvGraphicFramePr/>
              <a:graphic xmlns:a="http://schemas.openxmlformats.org/drawingml/2006/main">
                <a:graphicData uri="http://schemas.microsoft.com/office/word/2010/wordprocessingShape">
                  <wps:wsp>
                    <wps:cNvCnPr/>
                    <wps:spPr>
                      <a:xfrm flipH="1">
                        <a:off x="0" y="0"/>
                        <a:ext cx="6124680" cy="0"/>
                      </a:xfrm>
                      <a:prstGeom prst="line">
                        <a:avLst/>
                      </a:prstGeom>
                      <a:ln w="19080"/>
                    </wps:spPr>
                    <wps:style>
                      <a:lnRef idx="1">
                        <a:schemeClr val="accent1"/>
                      </a:lnRef>
                      <a:fillRef idx="0">
                        <a:schemeClr val="accent1"/>
                      </a:fillRef>
                      <a:effectRef idx="0">
                        <a:schemeClr val="accent1"/>
                      </a:effectRef>
                      <a:fontRef idx="minor"/>
                    </wps:style>
                    <wps:bodyPr/>
                  </wps:wsp>
                </a:graphicData>
              </a:graphic>
            </wp:anchor>
          </w:drawing>
        </mc:Choice>
        <mc:Fallback>
          <w:pict>
            <v:line id="Connettore diritto 5" o:spid="_x0000_s1026" o:spt="20" style="position:absolute;left:0pt;flip:x;margin-left:-0.75pt;margin-top:7.4pt;height:0.15pt;width:482.3pt;z-index:-251657216;mso-width-relative:page;mso-height-relative:page;" filled="f" stroked="t" coordsize="21600,21600" o:gfxdata="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HiC1jjXAAAACAEAAA8A&#10;AAAAAAAAAQAgAAAAIgAAAGRycy9kb3ducmV2LnhtbFBLAQIUABQAAAAIAIdO4kAycdPK3wEAAL8D&#10;AAAOAAAAAAAAAAEAIAAAACYBAABkcnMvZTJvRG9jLnhtbFBLBQYAAAAABgAGAFkBAAB3BQAAAAA=&#10;">
              <v:fill on="f" focussize="0,0"/>
              <v:stroke weight="1.50236220472441pt" color="#4472C4 [3204]" miterlimit="8" joinstyle="miter"/>
              <v:imagedata o:title=""/>
              <o:lock v:ext="edit" aspectratio="f"/>
            </v:line>
          </w:pict>
        </mc:Fallback>
      </mc:AlternateContent>
    </w:r>
  </w:p>
  <w:p w14:paraId="43D8C37A">
    <w:pPr>
      <w:tabs>
        <w:tab w:val="center" w:pos="4550"/>
        <w:tab w:val="left" w:pos="5818"/>
      </w:tabs>
      <w:spacing w:before="0" w:after="3"/>
      <w:ind w:right="260" w:firstLine="0"/>
      <w:jc w:val="right"/>
    </w:pPr>
    <w:r>
      <w:rPr>
        <w:color w:val="8497B0" w:themeColor="text2" w:themeTint="99"/>
        <w:spacing w:val="60"/>
        <w:sz w:val="20"/>
        <w:szCs w:val="20"/>
        <w14:textFill>
          <w14:solidFill>
            <w14:schemeClr w14:val="tx2">
              <w14:lumMod w14:val="60000"/>
              <w14:lumOff w14:val="40000"/>
            </w14:schemeClr>
          </w14:solidFill>
        </w14:textFill>
      </w:rPr>
      <w:t>Pag.</w:t>
    </w:r>
    <w:r>
      <w:rPr>
        <w:color w:val="8497B0" w:themeColor="text2" w:themeTint="99"/>
        <w:sz w:val="20"/>
        <w:szCs w:val="20"/>
        <w14:textFill>
          <w14:solidFill>
            <w14:schemeClr w14:val="tx2">
              <w14:lumMod w14:val="60000"/>
              <w14:lumOff w14:val="40000"/>
            </w14:schemeClr>
          </w14:solidFill>
        </w14:textFill>
      </w:rPr>
      <w:t xml:space="preserve"> </w:t>
    </w:r>
    <w:r>
      <w:rPr>
        <w:color w:val="8497B0" w:themeColor="text2" w:themeTint="99"/>
        <w:sz w:val="20"/>
        <w:szCs w:val="20"/>
        <w14:textFill>
          <w14:solidFill>
            <w14:schemeClr w14:val="tx2">
              <w14:lumMod w14:val="60000"/>
              <w14:lumOff w14:val="40000"/>
            </w14:schemeClr>
          </w14:solidFill>
        </w14:textFill>
      </w:rPr>
      <w:fldChar w:fldCharType="begin"/>
    </w:r>
    <w:r>
      <w:rPr>
        <w:sz w:val="20"/>
        <w:szCs w:val="20"/>
      </w:rPr>
      <w:instrText xml:space="preserve">PAGE</w:instrText>
    </w:r>
    <w:r>
      <w:rPr>
        <w:sz w:val="20"/>
        <w:szCs w:val="20"/>
      </w:rPr>
      <w:fldChar w:fldCharType="separate"/>
    </w:r>
    <w:r>
      <w:rPr>
        <w:sz w:val="20"/>
        <w:szCs w:val="20"/>
      </w:rPr>
      <w:t>43</w:t>
    </w:r>
    <w:r>
      <w:rPr>
        <w:sz w:val="20"/>
        <w:szCs w:val="20"/>
      </w:rPr>
      <w:fldChar w:fldCharType="end"/>
    </w:r>
    <w:r>
      <w:rPr>
        <w:color w:val="2E75B6" w:themeColor="accent5" w:themeShade="BF"/>
        <w:sz w:val="20"/>
        <w:szCs w:val="20"/>
      </w:rPr>
      <w:t xml:space="preserve"> | </w:t>
    </w:r>
    <w:r>
      <w:rPr>
        <w:color w:val="2E75B6" w:themeColor="accent5" w:themeShade="BF"/>
        <w:sz w:val="20"/>
        <w:szCs w:val="20"/>
      </w:rPr>
      <w:fldChar w:fldCharType="begin"/>
    </w:r>
    <w:r>
      <w:rPr>
        <w:sz w:val="20"/>
        <w:szCs w:val="20"/>
      </w:rPr>
      <w:instrText xml:space="preserve">NUMPAGES</w:instrText>
    </w:r>
    <w:r>
      <w:rPr>
        <w:sz w:val="20"/>
        <w:szCs w:val="20"/>
      </w:rPr>
      <w:fldChar w:fldCharType="separate"/>
    </w:r>
    <w:r>
      <w:rPr>
        <w:sz w:val="20"/>
        <w:szCs w:val="20"/>
      </w:rPr>
      <w:t>48</w:t>
    </w:r>
    <w:r>
      <w:rPr>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2B7CA">
    <w:pPr>
      <w:tabs>
        <w:tab w:val="center" w:pos="4550"/>
        <w:tab w:val="left" w:pos="5818"/>
      </w:tabs>
      <w:ind w:right="260" w:firstLine="0"/>
      <w:jc w:val="right"/>
      <w:rPr>
        <w:color w:val="8497B0" w:themeColor="text2" w:themeTint="99"/>
        <w:spacing w:val="60"/>
        <w:sz w:val="20"/>
        <w:szCs w:val="20"/>
        <w14:textFill>
          <w14:solidFill>
            <w14:schemeClr w14:val="tx2">
              <w14:lumMod w14:val="60000"/>
              <w14:lumOff w14:val="40000"/>
            </w14:schemeClr>
          </w14:solidFill>
        </w14:textFill>
      </w:rPr>
    </w:pPr>
    <w:r>
      <w:rPr>
        <w:color w:val="8497B0" w:themeColor="text2" w:themeTint="99"/>
        <w:spacing w:val="60"/>
        <w:sz w:val="20"/>
        <w:szCs w:val="20"/>
        <w14:textFill>
          <w14:solidFill>
            <w14:schemeClr w14:val="tx2">
              <w14:lumMod w14:val="60000"/>
              <w14:lumOff w14:val="40000"/>
            </w14:schemeClr>
          </w14:solidFill>
        </w14:textFill>
      </w:rPr>
      <mc:AlternateContent>
        <mc:Choice Requires="wps">
          <w:drawing>
            <wp:anchor distT="0" distB="0" distL="114300" distR="114300" simplePos="0" relativeHeight="251659264" behindDoc="1" locked="0" layoutInCell="1" allowOverlap="1">
              <wp:simplePos x="0" y="0"/>
              <wp:positionH relativeFrom="column">
                <wp:posOffset>-9525</wp:posOffset>
              </wp:positionH>
              <wp:positionV relativeFrom="paragraph">
                <wp:posOffset>93980</wp:posOffset>
              </wp:positionV>
              <wp:extent cx="6125210" cy="1905"/>
              <wp:effectExtent l="0" t="0" r="0" b="0"/>
              <wp:wrapNone/>
              <wp:docPr id="20" name="Connettore diritto 5"/>
              <wp:cNvGraphicFramePr/>
              <a:graphic xmlns:a="http://schemas.openxmlformats.org/drawingml/2006/main">
                <a:graphicData uri="http://schemas.microsoft.com/office/word/2010/wordprocessingShape">
                  <wps:wsp>
                    <wps:cNvCnPr/>
                    <wps:spPr>
                      <a:xfrm flipH="1">
                        <a:off x="0" y="0"/>
                        <a:ext cx="6124680" cy="0"/>
                      </a:xfrm>
                      <a:prstGeom prst="line">
                        <a:avLst/>
                      </a:prstGeom>
                      <a:ln w="19080"/>
                    </wps:spPr>
                    <wps:style>
                      <a:lnRef idx="1">
                        <a:schemeClr val="accent1"/>
                      </a:lnRef>
                      <a:fillRef idx="0">
                        <a:schemeClr val="accent1"/>
                      </a:fillRef>
                      <a:effectRef idx="0">
                        <a:schemeClr val="accent1"/>
                      </a:effectRef>
                      <a:fontRef idx="minor"/>
                    </wps:style>
                    <wps:bodyPr/>
                  </wps:wsp>
                </a:graphicData>
              </a:graphic>
            </wp:anchor>
          </w:drawing>
        </mc:Choice>
        <mc:Fallback>
          <w:pict>
            <v:line id="Connettore diritto 5" o:spid="_x0000_s1026" o:spt="20" style="position:absolute;left:0pt;flip:x;margin-left:-0.75pt;margin-top:7.4pt;height:0.15pt;width:482.3pt;z-index:-251657216;mso-width-relative:page;mso-height-relative:page;" filled="f" stroked="t" coordsize="21600,21600" o:gfxdata="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eILWONcAAAAIAQAADwAA&#10;AAAAAAABACAAAAAiAAAAZHJzL2Rvd25yZXYueG1sUEsBAhQAFAAAAAgAh07iQPBLfvTeAQAAwAMA&#10;AA4AAAAAAAAAAQAgAAAAJgEAAGRycy9lMm9Eb2MueG1sUEsFBgAAAAAGAAYAWQEAAHYFAAAAAA==&#10;">
              <v:fill on="f" focussize="0,0"/>
              <v:stroke weight="1.50236220472441pt" color="#4472C4 [3204]" miterlimit="8" joinstyle="miter"/>
              <v:imagedata o:title=""/>
              <o:lock v:ext="edit" aspectratio="f"/>
            </v:line>
          </w:pict>
        </mc:Fallback>
      </mc:AlternateContent>
    </w:r>
  </w:p>
  <w:p w14:paraId="7FC848DC">
    <w:pPr>
      <w:tabs>
        <w:tab w:val="center" w:pos="4550"/>
        <w:tab w:val="left" w:pos="5818"/>
      </w:tabs>
      <w:spacing w:before="0" w:after="3"/>
      <w:ind w:right="260" w:firstLine="0"/>
      <w:jc w:val="right"/>
    </w:pPr>
    <w:r>
      <w:rPr>
        <w:color w:val="8497B0" w:themeColor="text2" w:themeTint="99"/>
        <w:spacing w:val="60"/>
        <w:sz w:val="20"/>
        <w:szCs w:val="20"/>
        <w14:textFill>
          <w14:solidFill>
            <w14:schemeClr w14:val="tx2">
              <w14:lumMod w14:val="60000"/>
              <w14:lumOff w14:val="40000"/>
            </w14:schemeClr>
          </w14:solidFill>
        </w14:textFill>
      </w:rPr>
      <w:t>Pag.</w:t>
    </w:r>
    <w:r>
      <w:rPr>
        <w:color w:val="8497B0" w:themeColor="text2" w:themeTint="99"/>
        <w:sz w:val="20"/>
        <w:szCs w:val="20"/>
        <w14:textFill>
          <w14:solidFill>
            <w14:schemeClr w14:val="tx2">
              <w14:lumMod w14:val="60000"/>
              <w14:lumOff w14:val="40000"/>
            </w14:schemeClr>
          </w14:solidFill>
        </w14:textFill>
      </w:rPr>
      <w:t xml:space="preserve"> </w:t>
    </w:r>
    <w:r>
      <w:rPr>
        <w:color w:val="8497B0" w:themeColor="text2" w:themeTint="99"/>
        <w:sz w:val="20"/>
        <w:szCs w:val="20"/>
        <w14:textFill>
          <w14:solidFill>
            <w14:schemeClr w14:val="tx2">
              <w14:lumMod w14:val="60000"/>
              <w14:lumOff w14:val="40000"/>
            </w14:schemeClr>
          </w14:solidFill>
        </w14:textFill>
      </w:rPr>
      <w:fldChar w:fldCharType="begin"/>
    </w:r>
    <w:r>
      <w:rPr>
        <w:sz w:val="20"/>
        <w:szCs w:val="20"/>
      </w:rPr>
      <w:instrText xml:space="preserve">PAGE</w:instrText>
    </w:r>
    <w:r>
      <w:rPr>
        <w:sz w:val="20"/>
        <w:szCs w:val="20"/>
      </w:rPr>
      <w:fldChar w:fldCharType="separate"/>
    </w:r>
    <w:r>
      <w:rPr>
        <w:sz w:val="20"/>
        <w:szCs w:val="20"/>
      </w:rPr>
      <w:t>48</w:t>
    </w:r>
    <w:r>
      <w:rPr>
        <w:sz w:val="20"/>
        <w:szCs w:val="20"/>
      </w:rPr>
      <w:fldChar w:fldCharType="end"/>
    </w:r>
    <w:r>
      <w:rPr>
        <w:color w:val="2E75B6" w:themeColor="accent5" w:themeShade="BF"/>
        <w:sz w:val="20"/>
        <w:szCs w:val="20"/>
      </w:rPr>
      <w:t xml:space="preserve"> | </w:t>
    </w:r>
    <w:r>
      <w:rPr>
        <w:color w:val="2E75B6" w:themeColor="accent5" w:themeShade="BF"/>
        <w:sz w:val="20"/>
        <w:szCs w:val="20"/>
      </w:rPr>
      <w:fldChar w:fldCharType="begin"/>
    </w:r>
    <w:r>
      <w:rPr>
        <w:sz w:val="20"/>
        <w:szCs w:val="20"/>
      </w:rPr>
      <w:instrText xml:space="preserve">NUMPAGES</w:instrText>
    </w:r>
    <w:r>
      <w:rPr>
        <w:sz w:val="20"/>
        <w:szCs w:val="20"/>
      </w:rPr>
      <w:fldChar w:fldCharType="separate"/>
    </w:r>
    <w:r>
      <w:rPr>
        <w:sz w:val="20"/>
        <w:szCs w:val="20"/>
      </w:rPr>
      <w:t>48</w:t>
    </w:r>
    <w:r>
      <w:rP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BB752">
    <w:pPr>
      <w:pStyle w:val="16"/>
    </w:pPr>
    <w:r>
      <mc:AlternateContent>
        <mc:Choice Requires="wps">
          <w:drawing>
            <wp:anchor distT="0" distB="0" distL="114300" distR="114300" simplePos="0" relativeHeight="251659264" behindDoc="1" locked="0" layoutInCell="1" allowOverlap="1">
              <wp:simplePos x="0" y="0"/>
              <wp:positionH relativeFrom="column">
                <wp:posOffset>1450340</wp:posOffset>
              </wp:positionH>
              <wp:positionV relativeFrom="paragraph">
                <wp:posOffset>-83820</wp:posOffset>
              </wp:positionV>
              <wp:extent cx="4732020" cy="46990"/>
              <wp:effectExtent l="0" t="0" r="0" b="0"/>
              <wp:wrapNone/>
              <wp:docPr id="5" name="Rettangolo 6"/>
              <wp:cNvGraphicFramePr/>
              <a:graphic xmlns:a="http://schemas.openxmlformats.org/drawingml/2006/main">
                <a:graphicData uri="http://schemas.microsoft.com/office/word/2010/wordprocessingShape">
                  <wps:wsp>
                    <wps:cNvSpPr/>
                    <wps:spPr>
                      <a:xfrm>
                        <a:off x="0" y="0"/>
                        <a:ext cx="4731480" cy="46440"/>
                      </a:xfrm>
                      <a:prstGeom prst="rect">
                        <a:avLst/>
                      </a:prstGeom>
                      <a:ln>
                        <a:noFill/>
                      </a:ln>
                    </wps:spPr>
                    <wps:style>
                      <a:lnRef idx="2">
                        <a:schemeClr val="accent1">
                          <a:shade val="15000"/>
                        </a:schemeClr>
                      </a:lnRef>
                      <a:fillRef idx="1">
                        <a:schemeClr val="accent1"/>
                      </a:fillRef>
                      <a:effectRef idx="0">
                        <a:schemeClr val="accent1"/>
                      </a:effectRef>
                      <a:fontRef idx="minor"/>
                    </wps:style>
                    <wps:bodyPr/>
                  </wps:wsp>
                </a:graphicData>
              </a:graphic>
            </wp:anchor>
          </w:drawing>
        </mc:Choice>
        <mc:Fallback>
          <w:pict>
            <v:rect id="Rettangolo 6" o:spid="_x0000_s1026" o:spt="1" style="position:absolute;left:0pt;margin-left:114.2pt;margin-top:-6.6pt;height:3.7pt;width:372.6pt;z-index:-251657216;mso-width-relative:page;mso-height-relative:page;" fillcolor="#4472C4 [3204]" filled="t" stroked="f" coordsize="21600,21600" o:gfxdata="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mn7In2AAAAAoBAAAPAAAAAAAAAAEA&#10;IAAAACIAAABkcnMvZG93bnJldi54bWxQSwECFAAUAAAACACHTuJAbKyw39YBAACxAwAADgAAAAAA&#10;AAABACAAAAAnAQAAZHJzL2Uyb0RvYy54bWxQSwUGAAAAAAYABgBZAQAAbwUAAAAA&#10;">
              <v:fill on="t" focussize="0,0"/>
              <v:stroke on="f" weight="1pt" miterlimit="8" joinstyle="miter"/>
              <v:imagedata o:title=""/>
              <o:lock v:ext="edit" aspectratio="f"/>
            </v:rect>
          </w:pict>
        </mc:Fallback>
      </mc:AlternateContent>
    </w:r>
    <w:r>
      <mc:AlternateContent>
        <mc:Choice Requires="wps">
          <w:drawing>
            <wp:anchor distT="0" distB="0" distL="114300" distR="114300" simplePos="0" relativeHeight="251659264" behindDoc="1" locked="0" layoutInCell="1" allowOverlap="1">
              <wp:simplePos x="0" y="0"/>
              <wp:positionH relativeFrom="column">
                <wp:posOffset>-59690</wp:posOffset>
              </wp:positionH>
              <wp:positionV relativeFrom="paragraph">
                <wp:posOffset>-83820</wp:posOffset>
              </wp:positionV>
              <wp:extent cx="2322830" cy="374650"/>
              <wp:effectExtent l="0" t="0" r="2540" b="7620"/>
              <wp:wrapNone/>
              <wp:docPr id="6" name="Rettangolo 6"/>
              <wp:cNvGraphicFramePr/>
              <a:graphic xmlns:a="http://schemas.openxmlformats.org/drawingml/2006/main">
                <a:graphicData uri="http://schemas.microsoft.com/office/word/2010/wordprocessingShape">
                  <wps:wsp>
                    <wps:cNvSpPr/>
                    <wps:spPr>
                      <a:xfrm>
                        <a:off x="0" y="0"/>
                        <a:ext cx="2322360" cy="374040"/>
                      </a:xfrm>
                      <a:prstGeom prst="rect">
                        <a:avLst/>
                      </a:prstGeom>
                      <a:ln>
                        <a:noFill/>
                      </a:ln>
                    </wps:spPr>
                    <wps:style>
                      <a:lnRef idx="2">
                        <a:schemeClr val="accent1">
                          <a:shade val="15000"/>
                        </a:schemeClr>
                      </a:lnRef>
                      <a:fillRef idx="1">
                        <a:schemeClr val="accent1"/>
                      </a:fillRef>
                      <a:effectRef idx="0">
                        <a:schemeClr val="accent1"/>
                      </a:effectRef>
                      <a:fontRef idx="minor"/>
                    </wps:style>
                    <wps:txbx>
                      <w:txbxContent>
                        <w:p w14:paraId="1D90E362">
                          <w:pPr>
                            <w:pStyle w:val="342"/>
                            <w:spacing w:before="0" w:after="3"/>
                            <w:rPr>
                              <w:rStyle w:val="47"/>
                            </w:rPr>
                          </w:pPr>
                          <w:r>
                            <w:rPr>
                              <w:rStyle w:val="47"/>
                              <w:color w:val="FFFFFF"/>
                            </w:rPr>
                            <w:t>COMUNE DI INDUNO OLONA</w:t>
                          </w:r>
                        </w:p>
                      </w:txbxContent>
                    </wps:txbx>
                    <wps:bodyPr anchor="ctr">
                      <a:noAutofit/>
                    </wps:bodyPr>
                  </wps:wsp>
                </a:graphicData>
              </a:graphic>
            </wp:anchor>
          </w:drawing>
        </mc:Choice>
        <mc:Fallback>
          <w:pict>
            <v:rect id="Rettangolo 6" o:spid="_x0000_s1026" o:spt="1" style="position:absolute;left:0pt;margin-left:-4.7pt;margin-top:-6.6pt;height:29.5pt;width:182.9pt;z-index:-251657216;v-text-anchor:middle;mso-width-relative:page;mso-height-relative:page;" fillcolor="#4472C4 [3204]" filled="t" stroked="f" coordsize="21600,21600" o:gfxdata="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Ak+0ifbAAAACQEAAA8AAAAAAAAAAQAgAAAAIgAAAGRycy9kb3ducmV2LnhtbFBLAQIUABQA&#10;AAAIAIdO4kDIrbfD7QEAAOQDAAAOAAAAAAAAAAEAIAAAACoBAABkcnMvZTJvRG9jLnhtbFBLBQYA&#10;AAAABgAGAFkBAACJBQAAAAA=&#10;">
              <v:fill on="t" focussize="0,0"/>
              <v:stroke on="f" weight="1pt" miterlimit="8" joinstyle="miter"/>
              <v:imagedata o:title=""/>
              <o:lock v:ext="edit" aspectratio="f"/>
              <v:textbox>
                <w:txbxContent>
                  <w:p w14:paraId="1D90E362">
                    <w:pPr>
                      <w:pStyle w:val="342"/>
                      <w:spacing w:before="0" w:after="3"/>
                      <w:rPr>
                        <w:rStyle w:val="47"/>
                      </w:rPr>
                    </w:pPr>
                    <w:r>
                      <w:rPr>
                        <w:rStyle w:val="47"/>
                        <w:color w:val="FFFFFF"/>
                      </w:rPr>
                      <w:t>COMUNE DI INDUNO OLONA</w:t>
                    </w:r>
                  </w:p>
                </w:txbxContent>
              </v:textbox>
            </v:rect>
          </w:pict>
        </mc:Fallback>
      </mc:AlternateContent>
    </w:r>
    <w:r>
      <w:t xml:space="preserve">PAGINA | </w:t>
    </w:r>
    <w:r>
      <w:fldChar w:fldCharType="begin"/>
    </w:r>
    <w:r>
      <w:instrText xml:space="preserve">PAGE</w:instrText>
    </w:r>
    <w:r>
      <w:fldChar w:fldCharType="separate"/>
    </w:r>
    <w:r>
      <w:t>1</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8339C">
    <w:pPr>
      <w:pStyle w:val="16"/>
    </w:pPr>
    <w:r>
      <w:t xml:space="preserve">PAGINA | </w:t>
    </w:r>
    <w:r>
      <w:fldChar w:fldCharType="begin"/>
    </w:r>
    <w:r>
      <w:instrText xml:space="preserve">PAGE</w:instrText>
    </w:r>
    <w:r>
      <w:fldChar w:fldCharType="separate"/>
    </w:r>
    <w:r>
      <w:t>36</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20007">
    <w:pPr>
      <w:pStyle w:val="16"/>
    </w:pPr>
    <w:r>
      <w:t xml:space="preserve">PAGINA | </w:t>
    </w:r>
    <w:r>
      <w:fldChar w:fldCharType="begin"/>
    </w:r>
    <w:r>
      <w:instrText xml:space="preserve">PAGE</w:instrText>
    </w:r>
    <w:r>
      <w:fldChar w:fldCharType="separate"/>
    </w:r>
    <w:r>
      <w:t>45</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bullet"/>
      <w:lvlText w:val=""/>
      <w:lvlJc w:val="left"/>
      <w:pPr>
        <w:ind w:left="720" w:hanging="360"/>
      </w:pPr>
      <w:rPr>
        <w:rFonts w:hint="default" w:ascii="Symbol" w:hAnsi="Symbol" w:cs="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cs="Wingdings"/>
      </w:rPr>
    </w:lvl>
    <w:lvl w:ilvl="3" w:tentative="0">
      <w:start w:val="1"/>
      <w:numFmt w:val="bullet"/>
      <w:lvlText w:val=""/>
      <w:lvlJc w:val="left"/>
      <w:pPr>
        <w:ind w:left="2880" w:hanging="360"/>
      </w:pPr>
      <w:rPr>
        <w:rFonts w:hint="default" w:ascii="Symbol" w:hAnsi="Symbol" w:cs="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cs="Wingdings"/>
      </w:rPr>
    </w:lvl>
    <w:lvl w:ilvl="6" w:tentative="0">
      <w:start w:val="1"/>
      <w:numFmt w:val="bullet"/>
      <w:lvlText w:val=""/>
      <w:lvlJc w:val="left"/>
      <w:pPr>
        <w:ind w:left="5040" w:hanging="360"/>
      </w:pPr>
      <w:rPr>
        <w:rFonts w:hint="default" w:ascii="Symbol" w:hAnsi="Symbol" w:cs="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cs="Wingdings"/>
      </w:rPr>
    </w:lvl>
  </w:abstractNum>
  <w:abstractNum w:abstractNumId="1">
    <w:nsid w:val="9C8AC8EF"/>
    <w:multiLevelType w:val="multilevel"/>
    <w:tmpl w:val="9C8AC8EF"/>
    <w:lvl w:ilvl="0" w:tentative="0">
      <w:start w:val="1"/>
      <w:numFmt w:val="bullet"/>
      <w:lvlText w:val=""/>
      <w:lvlJc w:val="left"/>
      <w:pPr>
        <w:ind w:left="720" w:hanging="360"/>
      </w:pPr>
      <w:rPr>
        <w:rFonts w:hint="default" w:ascii="Symbol" w:hAnsi="Symbol" w:cs="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cs="Wingdings"/>
      </w:rPr>
    </w:lvl>
    <w:lvl w:ilvl="3" w:tentative="0">
      <w:start w:val="1"/>
      <w:numFmt w:val="bullet"/>
      <w:lvlText w:val=""/>
      <w:lvlJc w:val="left"/>
      <w:pPr>
        <w:ind w:left="2880" w:hanging="360"/>
      </w:pPr>
      <w:rPr>
        <w:rFonts w:hint="default" w:ascii="Symbol" w:hAnsi="Symbol" w:cs="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cs="Wingdings"/>
      </w:rPr>
    </w:lvl>
    <w:lvl w:ilvl="6" w:tentative="0">
      <w:start w:val="1"/>
      <w:numFmt w:val="bullet"/>
      <w:lvlText w:val=""/>
      <w:lvlJc w:val="left"/>
      <w:pPr>
        <w:ind w:left="5040" w:hanging="360"/>
      </w:pPr>
      <w:rPr>
        <w:rFonts w:hint="default" w:ascii="Symbol" w:hAnsi="Symbol" w:cs="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cs="Wingdings"/>
      </w:rPr>
    </w:lvl>
  </w:abstractNum>
  <w:abstractNum w:abstractNumId="2">
    <w:nsid w:val="B0F1ACD9"/>
    <w:multiLevelType w:val="multilevel"/>
    <w:tmpl w:val="B0F1ACD9"/>
    <w:lvl w:ilvl="0" w:tentative="0">
      <w:start w:val="1"/>
      <w:numFmt w:val="bullet"/>
      <w:lvlText w:val=""/>
      <w:lvlJc w:val="left"/>
      <w:pPr>
        <w:ind w:left="720" w:hanging="360"/>
      </w:pPr>
      <w:rPr>
        <w:rFonts w:hint="default" w:ascii="Symbol" w:hAnsi="Symbol" w:cs="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cs="Wingdings"/>
      </w:rPr>
    </w:lvl>
    <w:lvl w:ilvl="3" w:tentative="0">
      <w:start w:val="1"/>
      <w:numFmt w:val="bullet"/>
      <w:lvlText w:val=""/>
      <w:lvlJc w:val="left"/>
      <w:pPr>
        <w:ind w:left="2880" w:hanging="360"/>
      </w:pPr>
      <w:rPr>
        <w:rFonts w:hint="default" w:ascii="Symbol" w:hAnsi="Symbol" w:cs="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cs="Wingdings"/>
      </w:rPr>
    </w:lvl>
    <w:lvl w:ilvl="6" w:tentative="0">
      <w:start w:val="1"/>
      <w:numFmt w:val="bullet"/>
      <w:lvlText w:val=""/>
      <w:lvlJc w:val="left"/>
      <w:pPr>
        <w:ind w:left="5040" w:hanging="360"/>
      </w:pPr>
      <w:rPr>
        <w:rFonts w:hint="default" w:ascii="Symbol" w:hAnsi="Symbol" w:cs="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cs="Wingdings"/>
      </w:rPr>
    </w:lvl>
  </w:abstractNum>
  <w:abstractNum w:abstractNumId="3">
    <w:nsid w:val="B5E306ED"/>
    <w:multiLevelType w:val="multilevel"/>
    <w:tmpl w:val="B5E306ED"/>
    <w:lvl w:ilvl="0" w:tentative="0">
      <w:start w:val="1"/>
      <w:numFmt w:val="bullet"/>
      <w:lvlText w:val=""/>
      <w:lvlJc w:val="left"/>
      <w:pPr>
        <w:ind w:left="720" w:hanging="360"/>
      </w:pPr>
      <w:rPr>
        <w:rFonts w:hint="default" w:ascii="Symbol" w:hAnsi="Symbol" w:cs="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cs="Wingdings"/>
      </w:rPr>
    </w:lvl>
    <w:lvl w:ilvl="3" w:tentative="0">
      <w:start w:val="1"/>
      <w:numFmt w:val="bullet"/>
      <w:lvlText w:val=""/>
      <w:lvlJc w:val="left"/>
      <w:pPr>
        <w:ind w:left="2880" w:hanging="360"/>
      </w:pPr>
      <w:rPr>
        <w:rFonts w:hint="default" w:ascii="Symbol" w:hAnsi="Symbol" w:cs="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cs="Wingdings"/>
      </w:rPr>
    </w:lvl>
    <w:lvl w:ilvl="6" w:tentative="0">
      <w:start w:val="1"/>
      <w:numFmt w:val="bullet"/>
      <w:lvlText w:val=""/>
      <w:lvlJc w:val="left"/>
      <w:pPr>
        <w:ind w:left="5040" w:hanging="360"/>
      </w:pPr>
      <w:rPr>
        <w:rFonts w:hint="default" w:ascii="Symbol" w:hAnsi="Symbol" w:cs="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cs="Wingdings"/>
      </w:rPr>
    </w:lvl>
  </w:abstractNum>
  <w:abstractNum w:abstractNumId="4">
    <w:nsid w:val="BF205925"/>
    <w:multiLevelType w:val="multilevel"/>
    <w:tmpl w:val="BF205925"/>
    <w:lvl w:ilvl="0" w:tentative="0">
      <w:start w:val="1"/>
      <w:numFmt w:val="bullet"/>
      <w:lvlText w:val=""/>
      <w:lvlJc w:val="left"/>
      <w:pPr>
        <w:ind w:left="720" w:hanging="360"/>
      </w:pPr>
      <w:rPr>
        <w:rFonts w:hint="default" w:ascii="Symbol" w:hAnsi="Symbol" w:cs="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cs="Wingdings"/>
      </w:rPr>
    </w:lvl>
    <w:lvl w:ilvl="3" w:tentative="0">
      <w:start w:val="1"/>
      <w:numFmt w:val="bullet"/>
      <w:lvlText w:val=""/>
      <w:lvlJc w:val="left"/>
      <w:pPr>
        <w:ind w:left="2880" w:hanging="360"/>
      </w:pPr>
      <w:rPr>
        <w:rFonts w:hint="default" w:ascii="Symbol" w:hAnsi="Symbol" w:cs="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cs="Wingdings"/>
      </w:rPr>
    </w:lvl>
    <w:lvl w:ilvl="6" w:tentative="0">
      <w:start w:val="1"/>
      <w:numFmt w:val="bullet"/>
      <w:lvlText w:val=""/>
      <w:lvlJc w:val="left"/>
      <w:pPr>
        <w:ind w:left="5040" w:hanging="360"/>
      </w:pPr>
      <w:rPr>
        <w:rFonts w:hint="default" w:ascii="Symbol" w:hAnsi="Symbol" w:cs="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cs="Wingdings"/>
      </w:rPr>
    </w:lvl>
  </w:abstractNum>
  <w:abstractNum w:abstractNumId="5">
    <w:nsid w:val="C8879AEF"/>
    <w:multiLevelType w:val="multilevel"/>
    <w:tmpl w:val="C8879AEF"/>
    <w:lvl w:ilvl="0" w:tentative="0">
      <w:start w:val="1"/>
      <w:numFmt w:val="bullet"/>
      <w:lvlText w:val=""/>
      <w:lvlJc w:val="left"/>
      <w:pPr>
        <w:ind w:left="360" w:hanging="360"/>
      </w:pPr>
      <w:rPr>
        <w:rFonts w:hint="default" w:ascii="Wingdings" w:hAnsi="Wingdings" w:cs="Wingdings"/>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cs="Wingdings"/>
      </w:rPr>
    </w:lvl>
    <w:lvl w:ilvl="3" w:tentative="0">
      <w:start w:val="1"/>
      <w:numFmt w:val="bullet"/>
      <w:lvlText w:val=""/>
      <w:lvlJc w:val="left"/>
      <w:pPr>
        <w:ind w:left="2520" w:hanging="360"/>
      </w:pPr>
      <w:rPr>
        <w:rFonts w:hint="default" w:ascii="Symbol" w:hAnsi="Symbol" w:cs="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cs="Wingdings"/>
      </w:rPr>
    </w:lvl>
    <w:lvl w:ilvl="6" w:tentative="0">
      <w:start w:val="1"/>
      <w:numFmt w:val="bullet"/>
      <w:lvlText w:val=""/>
      <w:lvlJc w:val="left"/>
      <w:pPr>
        <w:ind w:left="4680" w:hanging="360"/>
      </w:pPr>
      <w:rPr>
        <w:rFonts w:hint="default" w:ascii="Symbol" w:hAnsi="Symbol" w:cs="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cs="Wingdings"/>
      </w:rPr>
    </w:lvl>
  </w:abstractNum>
  <w:abstractNum w:abstractNumId="6">
    <w:nsid w:val="CF092B84"/>
    <w:multiLevelType w:val="multilevel"/>
    <w:tmpl w:val="CF092B84"/>
    <w:lvl w:ilvl="0" w:tentative="0">
      <w:start w:val="1"/>
      <w:numFmt w:val="bullet"/>
      <w:lvlText w:val=""/>
      <w:lvlJc w:val="left"/>
      <w:pPr>
        <w:ind w:left="720" w:hanging="360"/>
      </w:pPr>
      <w:rPr>
        <w:rFonts w:hint="default" w:ascii="Symbol" w:hAnsi="Symbol" w:cs="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cs="Wingdings"/>
      </w:rPr>
    </w:lvl>
    <w:lvl w:ilvl="3" w:tentative="0">
      <w:start w:val="1"/>
      <w:numFmt w:val="bullet"/>
      <w:lvlText w:val=""/>
      <w:lvlJc w:val="left"/>
      <w:pPr>
        <w:ind w:left="2880" w:hanging="360"/>
      </w:pPr>
      <w:rPr>
        <w:rFonts w:hint="default" w:ascii="Symbol" w:hAnsi="Symbol" w:cs="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cs="Wingdings"/>
      </w:rPr>
    </w:lvl>
    <w:lvl w:ilvl="6" w:tentative="0">
      <w:start w:val="1"/>
      <w:numFmt w:val="bullet"/>
      <w:lvlText w:val=""/>
      <w:lvlJc w:val="left"/>
      <w:pPr>
        <w:ind w:left="5040" w:hanging="360"/>
      </w:pPr>
      <w:rPr>
        <w:rFonts w:hint="default" w:ascii="Symbol" w:hAnsi="Symbol" w:cs="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cs="Wingdings"/>
      </w:rPr>
    </w:lvl>
  </w:abstractNum>
  <w:abstractNum w:abstractNumId="7">
    <w:nsid w:val="D7F9FE59"/>
    <w:multiLevelType w:val="multilevel"/>
    <w:tmpl w:val="D7F9FE59"/>
    <w:lvl w:ilvl="0" w:tentative="0">
      <w:start w:val="1"/>
      <w:numFmt w:val="bullet"/>
      <w:lvlText w:val=""/>
      <w:lvlJc w:val="left"/>
      <w:pPr>
        <w:ind w:left="720" w:hanging="360"/>
      </w:pPr>
      <w:rPr>
        <w:rFonts w:hint="default" w:ascii="Symbol" w:hAnsi="Symbol" w:cs="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cs="Wingdings"/>
      </w:rPr>
    </w:lvl>
    <w:lvl w:ilvl="3" w:tentative="0">
      <w:start w:val="1"/>
      <w:numFmt w:val="bullet"/>
      <w:lvlText w:val=""/>
      <w:lvlJc w:val="left"/>
      <w:pPr>
        <w:ind w:left="2880" w:hanging="360"/>
      </w:pPr>
      <w:rPr>
        <w:rFonts w:hint="default" w:ascii="Symbol" w:hAnsi="Symbol" w:cs="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cs="Wingdings"/>
      </w:rPr>
    </w:lvl>
    <w:lvl w:ilvl="6" w:tentative="0">
      <w:start w:val="1"/>
      <w:numFmt w:val="bullet"/>
      <w:lvlText w:val=""/>
      <w:lvlJc w:val="left"/>
      <w:pPr>
        <w:ind w:left="5040" w:hanging="360"/>
      </w:pPr>
      <w:rPr>
        <w:rFonts w:hint="default" w:ascii="Symbol" w:hAnsi="Symbol" w:cs="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cs="Wingdings"/>
      </w:rPr>
    </w:lvl>
  </w:abstractNum>
  <w:abstractNum w:abstractNumId="8">
    <w:nsid w:val="DCBA6B53"/>
    <w:multiLevelType w:val="multilevel"/>
    <w:tmpl w:val="DCBA6B53"/>
    <w:lvl w:ilvl="0" w:tentative="0">
      <w:start w:val="1"/>
      <w:numFmt w:val="bullet"/>
      <w:lvlText w:val=""/>
      <w:lvlJc w:val="left"/>
      <w:pPr>
        <w:ind w:left="720" w:hanging="360"/>
      </w:pPr>
      <w:rPr>
        <w:rFonts w:hint="default" w:ascii="Symbol" w:hAnsi="Symbol" w:cs="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cs="Wingdings"/>
      </w:rPr>
    </w:lvl>
    <w:lvl w:ilvl="3" w:tentative="0">
      <w:start w:val="1"/>
      <w:numFmt w:val="bullet"/>
      <w:lvlText w:val=""/>
      <w:lvlJc w:val="left"/>
      <w:pPr>
        <w:ind w:left="2880" w:hanging="360"/>
      </w:pPr>
      <w:rPr>
        <w:rFonts w:hint="default" w:ascii="Symbol" w:hAnsi="Symbol" w:cs="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cs="Wingdings"/>
      </w:rPr>
    </w:lvl>
    <w:lvl w:ilvl="6" w:tentative="0">
      <w:start w:val="1"/>
      <w:numFmt w:val="bullet"/>
      <w:lvlText w:val=""/>
      <w:lvlJc w:val="left"/>
      <w:pPr>
        <w:ind w:left="5040" w:hanging="360"/>
      </w:pPr>
      <w:rPr>
        <w:rFonts w:hint="default" w:ascii="Symbol" w:hAnsi="Symbol" w:cs="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cs="Wingdings"/>
      </w:rPr>
    </w:lvl>
  </w:abstractNum>
  <w:abstractNum w:abstractNumId="9">
    <w:nsid w:val="F4B5D9F5"/>
    <w:multiLevelType w:val="multilevel"/>
    <w:tmpl w:val="F4B5D9F5"/>
    <w:lvl w:ilvl="0" w:tentative="0">
      <w:start w:val="1"/>
      <w:numFmt w:val="bullet"/>
      <w:lvlText w:val=""/>
      <w:lvlJc w:val="left"/>
      <w:pPr>
        <w:ind w:left="720" w:hanging="360"/>
      </w:pPr>
      <w:rPr>
        <w:rFonts w:hint="default" w:ascii="Symbol" w:hAnsi="Symbol" w:cs="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cs="Wingdings"/>
      </w:rPr>
    </w:lvl>
    <w:lvl w:ilvl="3" w:tentative="0">
      <w:start w:val="1"/>
      <w:numFmt w:val="bullet"/>
      <w:lvlText w:val=""/>
      <w:lvlJc w:val="left"/>
      <w:pPr>
        <w:ind w:left="2880" w:hanging="360"/>
      </w:pPr>
      <w:rPr>
        <w:rFonts w:hint="default" w:ascii="Symbol" w:hAnsi="Symbol" w:cs="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cs="Wingdings"/>
      </w:rPr>
    </w:lvl>
    <w:lvl w:ilvl="6" w:tentative="0">
      <w:start w:val="1"/>
      <w:numFmt w:val="bullet"/>
      <w:lvlText w:val=""/>
      <w:lvlJc w:val="left"/>
      <w:pPr>
        <w:ind w:left="5040" w:hanging="360"/>
      </w:pPr>
      <w:rPr>
        <w:rFonts w:hint="default" w:ascii="Symbol" w:hAnsi="Symbol" w:cs="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cs="Wingdings"/>
      </w:rPr>
    </w:lvl>
  </w:abstractNum>
  <w:abstractNum w:abstractNumId="10">
    <w:nsid w:val="0053208E"/>
    <w:multiLevelType w:val="multilevel"/>
    <w:tmpl w:val="0053208E"/>
    <w:lvl w:ilvl="0" w:tentative="0">
      <w:start w:val="1"/>
      <w:numFmt w:val="bullet"/>
      <w:lvlText w:val=""/>
      <w:lvlJc w:val="left"/>
      <w:pPr>
        <w:ind w:left="720" w:hanging="360"/>
      </w:pPr>
      <w:rPr>
        <w:rFonts w:hint="default" w:ascii="Symbol" w:hAnsi="Symbol" w:cs="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cs="Wingdings"/>
      </w:rPr>
    </w:lvl>
    <w:lvl w:ilvl="3" w:tentative="0">
      <w:start w:val="1"/>
      <w:numFmt w:val="bullet"/>
      <w:lvlText w:val=""/>
      <w:lvlJc w:val="left"/>
      <w:pPr>
        <w:ind w:left="2880" w:hanging="360"/>
      </w:pPr>
      <w:rPr>
        <w:rFonts w:hint="default" w:ascii="Symbol" w:hAnsi="Symbol" w:cs="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cs="Wingdings"/>
      </w:rPr>
    </w:lvl>
    <w:lvl w:ilvl="6" w:tentative="0">
      <w:start w:val="1"/>
      <w:numFmt w:val="bullet"/>
      <w:lvlText w:val=""/>
      <w:lvlJc w:val="left"/>
      <w:pPr>
        <w:ind w:left="5040" w:hanging="360"/>
      </w:pPr>
      <w:rPr>
        <w:rFonts w:hint="default" w:ascii="Symbol" w:hAnsi="Symbol" w:cs="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cs="Wingdings"/>
      </w:rPr>
    </w:lvl>
  </w:abstractNum>
  <w:abstractNum w:abstractNumId="11">
    <w:nsid w:val="0248C179"/>
    <w:multiLevelType w:val="multilevel"/>
    <w:tmpl w:val="0248C179"/>
    <w:lvl w:ilvl="0" w:tentative="0">
      <w:start w:val="1"/>
      <w:numFmt w:val="bullet"/>
      <w:lvlText w:val=""/>
      <w:lvlJc w:val="left"/>
      <w:pPr>
        <w:ind w:left="720" w:hanging="360"/>
      </w:pPr>
      <w:rPr>
        <w:rFonts w:hint="default" w:ascii="Symbol" w:hAnsi="Symbol" w:cs="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cs="Wingdings"/>
      </w:rPr>
    </w:lvl>
    <w:lvl w:ilvl="3" w:tentative="0">
      <w:start w:val="1"/>
      <w:numFmt w:val="bullet"/>
      <w:lvlText w:val=""/>
      <w:lvlJc w:val="left"/>
      <w:pPr>
        <w:ind w:left="2880" w:hanging="360"/>
      </w:pPr>
      <w:rPr>
        <w:rFonts w:hint="default" w:ascii="Symbol" w:hAnsi="Symbol" w:cs="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cs="Wingdings"/>
      </w:rPr>
    </w:lvl>
    <w:lvl w:ilvl="6" w:tentative="0">
      <w:start w:val="1"/>
      <w:numFmt w:val="bullet"/>
      <w:lvlText w:val=""/>
      <w:lvlJc w:val="left"/>
      <w:pPr>
        <w:ind w:left="5040" w:hanging="360"/>
      </w:pPr>
      <w:rPr>
        <w:rFonts w:hint="default" w:ascii="Symbol" w:hAnsi="Symbol" w:cs="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cs="Wingdings"/>
      </w:rPr>
    </w:lvl>
  </w:abstractNum>
  <w:abstractNum w:abstractNumId="12">
    <w:nsid w:val="03D62ECE"/>
    <w:multiLevelType w:val="multilevel"/>
    <w:tmpl w:val="03D62ECE"/>
    <w:lvl w:ilvl="0" w:tentative="0">
      <w:start w:val="1"/>
      <w:numFmt w:val="bullet"/>
      <w:lvlText w:val=""/>
      <w:lvlJc w:val="left"/>
      <w:pPr>
        <w:ind w:left="720" w:hanging="360"/>
      </w:pPr>
      <w:rPr>
        <w:rFonts w:hint="default" w:ascii="Symbol" w:hAnsi="Symbol" w:cs="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cs="Wingdings"/>
      </w:rPr>
    </w:lvl>
    <w:lvl w:ilvl="3" w:tentative="0">
      <w:start w:val="1"/>
      <w:numFmt w:val="bullet"/>
      <w:lvlText w:val=""/>
      <w:lvlJc w:val="left"/>
      <w:pPr>
        <w:ind w:left="2880" w:hanging="360"/>
      </w:pPr>
      <w:rPr>
        <w:rFonts w:hint="default" w:ascii="Symbol" w:hAnsi="Symbol" w:cs="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cs="Wingdings"/>
      </w:rPr>
    </w:lvl>
    <w:lvl w:ilvl="6" w:tentative="0">
      <w:start w:val="1"/>
      <w:numFmt w:val="bullet"/>
      <w:lvlText w:val=""/>
      <w:lvlJc w:val="left"/>
      <w:pPr>
        <w:ind w:left="5040" w:hanging="360"/>
      </w:pPr>
      <w:rPr>
        <w:rFonts w:hint="default" w:ascii="Symbol" w:hAnsi="Symbol" w:cs="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cs="Wingdings"/>
      </w:rPr>
    </w:lvl>
  </w:abstractNum>
  <w:abstractNum w:abstractNumId="13">
    <w:nsid w:val="0E640482"/>
    <w:multiLevelType w:val="multilevel"/>
    <w:tmpl w:val="0E640482"/>
    <w:lvl w:ilvl="0" w:tentative="0">
      <w:start w:val="1"/>
      <w:numFmt w:val="bullet"/>
      <w:lvlText w:val=""/>
      <w:lvlJc w:val="left"/>
      <w:pPr>
        <w:ind w:left="720" w:hanging="360"/>
      </w:pPr>
      <w:rPr>
        <w:rFonts w:hint="default" w:ascii="Symbol" w:hAnsi="Symbol" w:cs="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cs="Wingdings"/>
      </w:rPr>
    </w:lvl>
    <w:lvl w:ilvl="3" w:tentative="0">
      <w:start w:val="1"/>
      <w:numFmt w:val="bullet"/>
      <w:lvlText w:val=""/>
      <w:lvlJc w:val="left"/>
      <w:pPr>
        <w:ind w:left="2880" w:hanging="360"/>
      </w:pPr>
      <w:rPr>
        <w:rFonts w:hint="default" w:ascii="Symbol" w:hAnsi="Symbol" w:cs="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cs="Wingdings"/>
      </w:rPr>
    </w:lvl>
    <w:lvl w:ilvl="6" w:tentative="0">
      <w:start w:val="1"/>
      <w:numFmt w:val="bullet"/>
      <w:lvlText w:val=""/>
      <w:lvlJc w:val="left"/>
      <w:pPr>
        <w:ind w:left="5040" w:hanging="360"/>
      </w:pPr>
      <w:rPr>
        <w:rFonts w:hint="default" w:ascii="Symbol" w:hAnsi="Symbol" w:cs="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cs="Wingdings"/>
      </w:rPr>
    </w:lvl>
  </w:abstractNum>
  <w:abstractNum w:abstractNumId="14">
    <w:nsid w:val="2470EC97"/>
    <w:multiLevelType w:val="multilevel"/>
    <w:tmpl w:val="2470EC97"/>
    <w:lvl w:ilvl="0" w:tentative="0">
      <w:start w:val="1"/>
      <w:numFmt w:val="bullet"/>
      <w:lvlText w:val=""/>
      <w:lvlJc w:val="left"/>
      <w:pPr>
        <w:ind w:left="720" w:hanging="360"/>
      </w:pPr>
      <w:rPr>
        <w:rFonts w:hint="default" w:ascii="Symbol" w:hAnsi="Symbol" w:cs="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cs="Wingdings"/>
      </w:rPr>
    </w:lvl>
    <w:lvl w:ilvl="3" w:tentative="0">
      <w:start w:val="1"/>
      <w:numFmt w:val="bullet"/>
      <w:lvlText w:val=""/>
      <w:lvlJc w:val="left"/>
      <w:pPr>
        <w:ind w:left="2880" w:hanging="360"/>
      </w:pPr>
      <w:rPr>
        <w:rFonts w:hint="default" w:ascii="Symbol" w:hAnsi="Symbol" w:cs="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cs="Wingdings"/>
      </w:rPr>
    </w:lvl>
    <w:lvl w:ilvl="6" w:tentative="0">
      <w:start w:val="1"/>
      <w:numFmt w:val="bullet"/>
      <w:lvlText w:val=""/>
      <w:lvlJc w:val="left"/>
      <w:pPr>
        <w:ind w:left="5040" w:hanging="360"/>
      </w:pPr>
      <w:rPr>
        <w:rFonts w:hint="default" w:ascii="Symbol" w:hAnsi="Symbol" w:cs="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cs="Wingdings"/>
      </w:rPr>
    </w:lvl>
  </w:abstractNum>
  <w:abstractNum w:abstractNumId="15">
    <w:nsid w:val="25B654F3"/>
    <w:multiLevelType w:val="multilevel"/>
    <w:tmpl w:val="25B654F3"/>
    <w:lvl w:ilvl="0" w:tentative="0">
      <w:start w:val="1"/>
      <w:numFmt w:val="bullet"/>
      <w:lvlText w:val=""/>
      <w:lvlJc w:val="left"/>
      <w:pPr>
        <w:ind w:left="720" w:hanging="360"/>
      </w:pPr>
      <w:rPr>
        <w:rFonts w:hint="default" w:ascii="Symbol" w:hAnsi="Symbol" w:cs="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cs="Wingdings"/>
      </w:rPr>
    </w:lvl>
    <w:lvl w:ilvl="3" w:tentative="0">
      <w:start w:val="1"/>
      <w:numFmt w:val="bullet"/>
      <w:lvlText w:val=""/>
      <w:lvlJc w:val="left"/>
      <w:pPr>
        <w:ind w:left="2880" w:hanging="360"/>
      </w:pPr>
      <w:rPr>
        <w:rFonts w:hint="default" w:ascii="Symbol" w:hAnsi="Symbol" w:cs="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cs="Wingdings"/>
      </w:rPr>
    </w:lvl>
    <w:lvl w:ilvl="6" w:tentative="0">
      <w:start w:val="1"/>
      <w:numFmt w:val="bullet"/>
      <w:lvlText w:val=""/>
      <w:lvlJc w:val="left"/>
      <w:pPr>
        <w:ind w:left="5040" w:hanging="360"/>
      </w:pPr>
      <w:rPr>
        <w:rFonts w:hint="default" w:ascii="Symbol" w:hAnsi="Symbol" w:cs="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cs="Wingdings"/>
      </w:rPr>
    </w:lvl>
  </w:abstractNum>
  <w:abstractNum w:abstractNumId="16">
    <w:nsid w:val="2A8F537B"/>
    <w:multiLevelType w:val="multilevel"/>
    <w:tmpl w:val="2A8F537B"/>
    <w:lvl w:ilvl="0" w:tentative="0">
      <w:start w:val="1"/>
      <w:numFmt w:val="bullet"/>
      <w:lvlText w:val=""/>
      <w:lvlJc w:val="left"/>
      <w:pPr>
        <w:ind w:left="360" w:hanging="360"/>
      </w:pPr>
      <w:rPr>
        <w:rFonts w:hint="default" w:ascii="Wingdings" w:hAnsi="Wingdings" w:cs="Wingdings"/>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cs="Wingdings"/>
      </w:rPr>
    </w:lvl>
    <w:lvl w:ilvl="3" w:tentative="0">
      <w:start w:val="1"/>
      <w:numFmt w:val="bullet"/>
      <w:lvlText w:val=""/>
      <w:lvlJc w:val="left"/>
      <w:pPr>
        <w:ind w:left="2520" w:hanging="360"/>
      </w:pPr>
      <w:rPr>
        <w:rFonts w:hint="default" w:ascii="Symbol" w:hAnsi="Symbol" w:cs="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cs="Wingdings"/>
      </w:rPr>
    </w:lvl>
    <w:lvl w:ilvl="6" w:tentative="0">
      <w:start w:val="1"/>
      <w:numFmt w:val="bullet"/>
      <w:lvlText w:val=""/>
      <w:lvlJc w:val="left"/>
      <w:pPr>
        <w:ind w:left="4680" w:hanging="360"/>
      </w:pPr>
      <w:rPr>
        <w:rFonts w:hint="default" w:ascii="Symbol" w:hAnsi="Symbol" w:cs="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cs="Wingdings"/>
      </w:rPr>
    </w:lvl>
  </w:abstractNum>
  <w:abstractNum w:abstractNumId="17">
    <w:nsid w:val="46A08BB8"/>
    <w:multiLevelType w:val="multilevel"/>
    <w:tmpl w:val="46A08BB8"/>
    <w:lvl w:ilvl="0" w:tentative="0">
      <w:start w:val="1"/>
      <w:numFmt w:val="bullet"/>
      <w:lvlText w:val=""/>
      <w:lvlJc w:val="left"/>
      <w:pPr>
        <w:ind w:left="720" w:hanging="360"/>
      </w:pPr>
      <w:rPr>
        <w:rFonts w:hint="default" w:ascii="Symbol" w:hAnsi="Symbol" w:cs="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cs="Wingdings"/>
      </w:rPr>
    </w:lvl>
    <w:lvl w:ilvl="3" w:tentative="0">
      <w:start w:val="1"/>
      <w:numFmt w:val="bullet"/>
      <w:lvlText w:val=""/>
      <w:lvlJc w:val="left"/>
      <w:pPr>
        <w:ind w:left="2880" w:hanging="360"/>
      </w:pPr>
      <w:rPr>
        <w:rFonts w:hint="default" w:ascii="Symbol" w:hAnsi="Symbol" w:cs="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cs="Wingdings"/>
      </w:rPr>
    </w:lvl>
    <w:lvl w:ilvl="6" w:tentative="0">
      <w:start w:val="1"/>
      <w:numFmt w:val="bullet"/>
      <w:lvlText w:val=""/>
      <w:lvlJc w:val="left"/>
      <w:pPr>
        <w:ind w:left="5040" w:hanging="360"/>
      </w:pPr>
      <w:rPr>
        <w:rFonts w:hint="default" w:ascii="Symbol" w:hAnsi="Symbol" w:cs="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cs="Wingdings"/>
      </w:rPr>
    </w:lvl>
  </w:abstractNum>
  <w:abstractNum w:abstractNumId="18">
    <w:nsid w:val="4C1BAE26"/>
    <w:multiLevelType w:val="multilevel"/>
    <w:tmpl w:val="4C1BAE26"/>
    <w:lvl w:ilvl="0" w:tentative="0">
      <w:start w:val="1"/>
      <w:numFmt w:val="bullet"/>
      <w:lvlText w:val=""/>
      <w:lvlJc w:val="left"/>
      <w:pPr>
        <w:ind w:left="720" w:hanging="360"/>
      </w:pPr>
      <w:rPr>
        <w:rFonts w:hint="default" w:ascii="Symbol" w:hAnsi="Symbol" w:cs="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cs="Wingdings"/>
      </w:rPr>
    </w:lvl>
    <w:lvl w:ilvl="3" w:tentative="0">
      <w:start w:val="1"/>
      <w:numFmt w:val="bullet"/>
      <w:lvlText w:val=""/>
      <w:lvlJc w:val="left"/>
      <w:pPr>
        <w:ind w:left="2880" w:hanging="360"/>
      </w:pPr>
      <w:rPr>
        <w:rFonts w:hint="default" w:ascii="Symbol" w:hAnsi="Symbol" w:cs="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cs="Wingdings"/>
      </w:rPr>
    </w:lvl>
    <w:lvl w:ilvl="6" w:tentative="0">
      <w:start w:val="1"/>
      <w:numFmt w:val="bullet"/>
      <w:lvlText w:val=""/>
      <w:lvlJc w:val="left"/>
      <w:pPr>
        <w:ind w:left="5040" w:hanging="360"/>
      </w:pPr>
      <w:rPr>
        <w:rFonts w:hint="default" w:ascii="Symbol" w:hAnsi="Symbol" w:cs="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cs="Wingdings"/>
      </w:rPr>
    </w:lvl>
  </w:abstractNum>
  <w:abstractNum w:abstractNumId="19">
    <w:nsid w:val="4D4DC07F"/>
    <w:multiLevelType w:val="multilevel"/>
    <w:tmpl w:val="4D4DC07F"/>
    <w:lvl w:ilvl="0" w:tentative="0">
      <w:start w:val="1"/>
      <w:numFmt w:val="bullet"/>
      <w:lvlText w:val=""/>
      <w:lvlJc w:val="left"/>
      <w:pPr>
        <w:ind w:left="360" w:hanging="360"/>
      </w:pPr>
      <w:rPr>
        <w:rFonts w:hint="default" w:ascii="Wingdings" w:hAnsi="Wingdings" w:cs="Wingdings"/>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cs="Wingdings"/>
      </w:rPr>
    </w:lvl>
    <w:lvl w:ilvl="3" w:tentative="0">
      <w:start w:val="1"/>
      <w:numFmt w:val="bullet"/>
      <w:lvlText w:val=""/>
      <w:lvlJc w:val="left"/>
      <w:pPr>
        <w:ind w:left="2520" w:hanging="360"/>
      </w:pPr>
      <w:rPr>
        <w:rFonts w:hint="default" w:ascii="Symbol" w:hAnsi="Symbol" w:cs="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cs="Wingdings"/>
      </w:rPr>
    </w:lvl>
    <w:lvl w:ilvl="6" w:tentative="0">
      <w:start w:val="1"/>
      <w:numFmt w:val="bullet"/>
      <w:lvlText w:val=""/>
      <w:lvlJc w:val="left"/>
      <w:pPr>
        <w:ind w:left="4680" w:hanging="360"/>
      </w:pPr>
      <w:rPr>
        <w:rFonts w:hint="default" w:ascii="Symbol" w:hAnsi="Symbol" w:cs="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cs="Wingdings"/>
      </w:rPr>
    </w:lvl>
  </w:abstractNum>
  <w:abstractNum w:abstractNumId="20">
    <w:nsid w:val="59ADCABA"/>
    <w:multiLevelType w:val="multilevel"/>
    <w:tmpl w:val="59ADCABA"/>
    <w:lvl w:ilvl="0" w:tentative="0">
      <w:start w:val="1"/>
      <w:numFmt w:val="bullet"/>
      <w:lvlText w:val=""/>
      <w:lvlJc w:val="left"/>
      <w:pPr>
        <w:ind w:left="720" w:hanging="360"/>
      </w:pPr>
      <w:rPr>
        <w:rFonts w:hint="default" w:ascii="Symbol" w:hAnsi="Symbol" w:cs="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cs="Wingdings"/>
      </w:rPr>
    </w:lvl>
    <w:lvl w:ilvl="3" w:tentative="0">
      <w:start w:val="1"/>
      <w:numFmt w:val="bullet"/>
      <w:lvlText w:val=""/>
      <w:lvlJc w:val="left"/>
      <w:pPr>
        <w:ind w:left="2880" w:hanging="360"/>
      </w:pPr>
      <w:rPr>
        <w:rFonts w:hint="default" w:ascii="Symbol" w:hAnsi="Symbol" w:cs="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cs="Wingdings"/>
      </w:rPr>
    </w:lvl>
    <w:lvl w:ilvl="6" w:tentative="0">
      <w:start w:val="1"/>
      <w:numFmt w:val="bullet"/>
      <w:lvlText w:val=""/>
      <w:lvlJc w:val="left"/>
      <w:pPr>
        <w:ind w:left="5040" w:hanging="360"/>
      </w:pPr>
      <w:rPr>
        <w:rFonts w:hint="default" w:ascii="Symbol" w:hAnsi="Symbol" w:cs="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cs="Wingdings"/>
      </w:rPr>
    </w:lvl>
  </w:abstractNum>
  <w:abstractNum w:abstractNumId="21">
    <w:nsid w:val="5A241D34"/>
    <w:multiLevelType w:val="multilevel"/>
    <w:tmpl w:val="5A241D34"/>
    <w:lvl w:ilvl="0" w:tentative="0">
      <w:start w:val="1"/>
      <w:numFmt w:val="bullet"/>
      <w:lvlText w:val=""/>
      <w:lvlJc w:val="left"/>
      <w:pPr>
        <w:ind w:left="360" w:hanging="360"/>
      </w:pPr>
      <w:rPr>
        <w:rFonts w:hint="default" w:ascii="Wingdings" w:hAnsi="Wingdings" w:cs="Wingdings"/>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cs="Wingdings"/>
      </w:rPr>
    </w:lvl>
    <w:lvl w:ilvl="3" w:tentative="0">
      <w:start w:val="1"/>
      <w:numFmt w:val="bullet"/>
      <w:lvlText w:val=""/>
      <w:lvlJc w:val="left"/>
      <w:pPr>
        <w:ind w:left="2520" w:hanging="360"/>
      </w:pPr>
      <w:rPr>
        <w:rFonts w:hint="default" w:ascii="Symbol" w:hAnsi="Symbol" w:cs="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cs="Wingdings"/>
      </w:rPr>
    </w:lvl>
    <w:lvl w:ilvl="6" w:tentative="0">
      <w:start w:val="1"/>
      <w:numFmt w:val="bullet"/>
      <w:lvlText w:val=""/>
      <w:lvlJc w:val="left"/>
      <w:pPr>
        <w:ind w:left="4680" w:hanging="360"/>
      </w:pPr>
      <w:rPr>
        <w:rFonts w:hint="default" w:ascii="Symbol" w:hAnsi="Symbol" w:cs="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cs="Wingdings"/>
      </w:rPr>
    </w:lvl>
  </w:abstractNum>
  <w:abstractNum w:abstractNumId="22">
    <w:nsid w:val="60382F6E"/>
    <w:multiLevelType w:val="multilevel"/>
    <w:tmpl w:val="60382F6E"/>
    <w:lvl w:ilvl="0" w:tentative="0">
      <w:start w:val="1"/>
      <w:numFmt w:val="bullet"/>
      <w:lvlText w:val=""/>
      <w:lvlJc w:val="left"/>
      <w:pPr>
        <w:ind w:left="720" w:hanging="360"/>
      </w:pPr>
      <w:rPr>
        <w:rFonts w:hint="default" w:ascii="Symbol" w:hAnsi="Symbol" w:cs="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cs="Wingdings"/>
      </w:rPr>
    </w:lvl>
    <w:lvl w:ilvl="3" w:tentative="0">
      <w:start w:val="1"/>
      <w:numFmt w:val="bullet"/>
      <w:lvlText w:val=""/>
      <w:lvlJc w:val="left"/>
      <w:pPr>
        <w:ind w:left="2880" w:hanging="360"/>
      </w:pPr>
      <w:rPr>
        <w:rFonts w:hint="default" w:ascii="Symbol" w:hAnsi="Symbol" w:cs="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cs="Wingdings"/>
      </w:rPr>
    </w:lvl>
    <w:lvl w:ilvl="6" w:tentative="0">
      <w:start w:val="1"/>
      <w:numFmt w:val="bullet"/>
      <w:lvlText w:val=""/>
      <w:lvlJc w:val="left"/>
      <w:pPr>
        <w:ind w:left="5040" w:hanging="360"/>
      </w:pPr>
      <w:rPr>
        <w:rFonts w:hint="default" w:ascii="Symbol" w:hAnsi="Symbol" w:cs="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cs="Wingdings"/>
      </w:rPr>
    </w:lvl>
  </w:abstractNum>
  <w:abstractNum w:abstractNumId="23">
    <w:nsid w:val="72183CF9"/>
    <w:multiLevelType w:val="multilevel"/>
    <w:tmpl w:val="72183CF9"/>
    <w:lvl w:ilvl="0" w:tentative="0">
      <w:start w:val="1"/>
      <w:numFmt w:val="bullet"/>
      <w:lvlText w:val=""/>
      <w:lvlJc w:val="left"/>
      <w:pPr>
        <w:ind w:left="720" w:hanging="360"/>
      </w:pPr>
      <w:rPr>
        <w:rFonts w:hint="default" w:ascii="Symbol" w:hAnsi="Symbol" w:cs="Symbol"/>
        <w:b/>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cs="Wingdings"/>
      </w:rPr>
    </w:lvl>
    <w:lvl w:ilvl="3" w:tentative="0">
      <w:start w:val="1"/>
      <w:numFmt w:val="bullet"/>
      <w:lvlText w:val=""/>
      <w:lvlJc w:val="left"/>
      <w:pPr>
        <w:ind w:left="2880" w:hanging="360"/>
      </w:pPr>
      <w:rPr>
        <w:rFonts w:hint="default" w:ascii="Symbol" w:hAnsi="Symbol" w:cs="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cs="Wingdings"/>
      </w:rPr>
    </w:lvl>
    <w:lvl w:ilvl="6" w:tentative="0">
      <w:start w:val="1"/>
      <w:numFmt w:val="bullet"/>
      <w:lvlText w:val=""/>
      <w:lvlJc w:val="left"/>
      <w:pPr>
        <w:ind w:left="5040" w:hanging="360"/>
      </w:pPr>
      <w:rPr>
        <w:rFonts w:hint="default" w:ascii="Symbol" w:hAnsi="Symbol" w:cs="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cs="Wingdings"/>
      </w:rPr>
    </w:lvl>
  </w:abstractNum>
  <w:num w:numId="1">
    <w:abstractNumId w:val="10"/>
  </w:num>
  <w:num w:numId="2">
    <w:abstractNumId w:val="6"/>
  </w:num>
  <w:num w:numId="3">
    <w:abstractNumId w:val="20"/>
  </w:num>
  <w:num w:numId="4">
    <w:abstractNumId w:val="4"/>
  </w:num>
  <w:num w:numId="5">
    <w:abstractNumId w:val="3"/>
  </w:num>
  <w:num w:numId="6">
    <w:abstractNumId w:val="12"/>
  </w:num>
  <w:num w:numId="7">
    <w:abstractNumId w:val="15"/>
  </w:num>
  <w:num w:numId="8">
    <w:abstractNumId w:val="23"/>
  </w:num>
  <w:num w:numId="9">
    <w:abstractNumId w:val="11"/>
  </w:num>
  <w:num w:numId="10">
    <w:abstractNumId w:val="0"/>
  </w:num>
  <w:num w:numId="11">
    <w:abstractNumId w:val="16"/>
  </w:num>
  <w:num w:numId="12">
    <w:abstractNumId w:val="21"/>
  </w:num>
  <w:num w:numId="13">
    <w:abstractNumId w:val="5"/>
  </w:num>
  <w:num w:numId="14">
    <w:abstractNumId w:val="19"/>
  </w:num>
  <w:num w:numId="15">
    <w:abstractNumId w:val="9"/>
  </w:num>
  <w:num w:numId="16">
    <w:abstractNumId w:val="14"/>
  </w:num>
  <w:num w:numId="17">
    <w:abstractNumId w:val="8"/>
  </w:num>
  <w:num w:numId="18">
    <w:abstractNumId w:val="7"/>
  </w:num>
  <w:num w:numId="19">
    <w:abstractNumId w:val="1"/>
  </w:num>
  <w:num w:numId="20">
    <w:abstractNumId w:val="18"/>
  </w:num>
  <w:num w:numId="21">
    <w:abstractNumId w:val="22"/>
  </w:num>
  <w:num w:numId="22">
    <w:abstractNumId w:val="13"/>
  </w:num>
  <w:num w:numId="23">
    <w:abstractNumId w:val="17"/>
  </w:num>
  <w:num w:numId="2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Emanuele Barbagallo">
    <w15:presenceInfo w15:providerId="None" w15:userId="Emanuele Barbagall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documentProtection w:enforcement="0"/>
  <w:defaultTabStop w:val="708"/>
  <w:footnotePr>
    <w:footnote w:id="0"/>
    <w:footnote w:id="1"/>
  </w:footnotePr>
  <w:endnotePr>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757627FB"/>
  </w:rsids>
  <m:mathPr>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bidi w:val="0"/>
      <w:spacing w:before="0" w:after="3" w:line="360" w:lineRule="auto"/>
      <w:ind w:right="-1" w:firstLine="0"/>
      <w:jc w:val="both"/>
    </w:pPr>
    <w:rPr>
      <w:rFonts w:ascii="Calibri Light" w:hAnsi="Calibri Light" w:eastAsia="Calibri" w:cstheme="majorHAnsi"/>
      <w:color w:val="000000"/>
      <w:kern w:val="2"/>
      <w:sz w:val="24"/>
      <w:szCs w:val="24"/>
      <w:lang w:val="it-IT" w:eastAsia="it-IT" w:bidi="ar-SA"/>
      <w14:ligatures w14:val="standardContextual"/>
    </w:rPr>
  </w:style>
  <w:style w:type="paragraph" w:styleId="2">
    <w:name w:val="heading 1"/>
    <w:basedOn w:val="1"/>
    <w:autoRedefine/>
    <w:qFormat/>
    <w:uiPriority w:val="9"/>
    <w:pPr>
      <w:keepNext/>
      <w:keepLines/>
      <w:pBdr>
        <w:top w:val="single" w:color="4472C4" w:sz="4" w:space="6"/>
        <w:bottom w:val="single" w:color="4472C4" w:sz="4" w:space="6"/>
      </w:pBdr>
      <w:spacing w:before="120" w:after="120" w:line="259" w:lineRule="auto"/>
      <w:ind w:right="0" w:firstLine="0"/>
      <w:outlineLvl w:val="0"/>
    </w:pPr>
    <w:rPr>
      <w:rFonts w:eastAsia="Times New Roman" w:cstheme="majorBidi"/>
      <w:b/>
      <w:bCs/>
      <w:smallCaps/>
      <w:color w:val="2F5597" w:themeColor="accent1" w:themeShade="BF"/>
      <w:spacing w:val="30"/>
      <w:kern w:val="0"/>
      <w:sz w:val="32"/>
      <w:szCs w:val="40"/>
      <w:lang w:eastAsia="en-US"/>
      <w14:ligatures w14:val="none"/>
    </w:rPr>
  </w:style>
  <w:style w:type="paragraph" w:styleId="3">
    <w:name w:val="heading 2"/>
    <w:basedOn w:val="1"/>
    <w:qFormat/>
    <w:uiPriority w:val="9"/>
    <w:pPr>
      <w:pBdr>
        <w:top w:val="single" w:color="4472C4" w:sz="8" w:space="1"/>
        <w:left w:val="single" w:color="4472C4" w:sz="8" w:space="4"/>
        <w:bottom w:val="single" w:color="4472C4" w:sz="8" w:space="1"/>
        <w:right w:val="single" w:color="4472C4" w:sz="8" w:space="4"/>
      </w:pBdr>
      <w:shd w:val="clear" w:color="auto" w:fill="D9E2F3" w:themeFill="accent1" w:themeFillTint="33"/>
      <w:outlineLvl w:val="1"/>
    </w:pPr>
    <w:rPr>
      <w:smallCaps/>
      <w:color w:val="2F5597" w:themeColor="accent1" w:themeShade="BF"/>
      <w:sz w:val="28"/>
      <w:szCs w:val="28"/>
    </w:rPr>
  </w:style>
  <w:style w:type="paragraph" w:styleId="4">
    <w:name w:val="heading 3"/>
    <w:basedOn w:val="1"/>
    <w:qFormat/>
    <w:uiPriority w:val="9"/>
    <w:pPr>
      <w:pBdr>
        <w:bottom w:val="single" w:color="4472C4" w:sz="8" w:space="1"/>
      </w:pBdr>
      <w:outlineLvl w:val="2"/>
    </w:pPr>
    <w:rPr>
      <w:b/>
      <w:bCs/>
      <w:color w:val="2F5597" w:themeColor="accent1" w:themeShade="BF"/>
    </w:rPr>
  </w:style>
  <w:style w:type="paragraph" w:styleId="5">
    <w:name w:val="heading 5"/>
    <w:basedOn w:val="1"/>
    <w:semiHidden/>
    <w:unhideWhenUsed/>
    <w:qFormat/>
    <w:uiPriority w:val="9"/>
    <w:pPr>
      <w:keepNext/>
      <w:keepLines/>
      <w:spacing w:before="40" w:after="0" w:line="259" w:lineRule="auto"/>
      <w:ind w:right="0" w:firstLine="0"/>
      <w:outlineLvl w:val="4"/>
    </w:pPr>
    <w:rPr>
      <w:rFonts w:eastAsiaTheme="majorEastAsia" w:cstheme="majorBidi"/>
      <w:color w:val="2F5597" w:themeColor="accent1" w:themeShade="BF"/>
      <w:kern w:val="0"/>
      <w:lang w:eastAsia="en-US"/>
      <w14:ligatures w14:val="none"/>
    </w:rPr>
  </w:style>
  <w:style w:type="character" w:default="1" w:styleId="6">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8">
    <w:name w:val="Balloon Text"/>
    <w:basedOn w:val="1"/>
    <w:semiHidden/>
    <w:unhideWhenUsed/>
    <w:qFormat/>
    <w:uiPriority w:val="99"/>
    <w:pPr>
      <w:spacing w:before="0" w:after="0" w:line="240" w:lineRule="auto"/>
      <w:ind w:right="0" w:firstLine="0"/>
    </w:pPr>
    <w:rPr>
      <w:rFonts w:ascii="Times New Roman" w:hAnsi="Times New Roman" w:cs="Times New Roman" w:eastAsiaTheme="minorHAnsi"/>
      <w:color w:val="00000A"/>
      <w:kern w:val="0"/>
      <w:sz w:val="18"/>
      <w:szCs w:val="18"/>
      <w:lang w:eastAsia="en-US"/>
      <w14:ligatures w14:val="none"/>
    </w:rPr>
  </w:style>
  <w:style w:type="paragraph" w:styleId="9">
    <w:name w:val="Body Text"/>
    <w:basedOn w:val="1"/>
    <w:qFormat/>
    <w:uiPriority w:val="0"/>
    <w:pPr>
      <w:spacing w:before="0" w:after="140" w:line="276" w:lineRule="auto"/>
    </w:pPr>
  </w:style>
  <w:style w:type="paragraph" w:styleId="10">
    <w:name w:val="caption"/>
    <w:basedOn w:val="1"/>
    <w:qFormat/>
    <w:uiPriority w:val="0"/>
    <w:pPr>
      <w:suppressLineNumbers/>
      <w:spacing w:before="120" w:after="120"/>
    </w:pPr>
    <w:rPr>
      <w:rFonts w:cs="Lucida Sans"/>
      <w:i/>
      <w:iCs/>
    </w:rPr>
  </w:style>
  <w:style w:type="character" w:styleId="11">
    <w:name w:val="annotation reference"/>
    <w:basedOn w:val="6"/>
    <w:semiHidden/>
    <w:unhideWhenUsed/>
    <w:qFormat/>
    <w:uiPriority w:val="99"/>
    <w:rPr>
      <w:sz w:val="16"/>
      <w:szCs w:val="16"/>
    </w:rPr>
  </w:style>
  <w:style w:type="paragraph" w:styleId="12">
    <w:name w:val="annotation text"/>
    <w:basedOn w:val="1"/>
    <w:unhideWhenUsed/>
    <w:qFormat/>
    <w:uiPriority w:val="99"/>
    <w:pPr>
      <w:spacing w:before="0" w:after="160" w:line="240" w:lineRule="auto"/>
      <w:ind w:right="0" w:firstLine="0"/>
    </w:pPr>
    <w:rPr>
      <w:rFonts w:asciiTheme="minorHAnsi" w:hAnsiTheme="minorHAnsi" w:eastAsiaTheme="minorHAnsi" w:cstheme="minorBidi"/>
      <w:color w:val="00000A"/>
      <w:kern w:val="0"/>
      <w:sz w:val="20"/>
      <w:szCs w:val="20"/>
      <w:lang w:eastAsia="en-US"/>
      <w14:ligatures w14:val="none"/>
    </w:rPr>
  </w:style>
  <w:style w:type="paragraph" w:styleId="13">
    <w:name w:val="annotation subject"/>
    <w:basedOn w:val="12"/>
    <w:semiHidden/>
    <w:unhideWhenUsed/>
    <w:qFormat/>
    <w:uiPriority w:val="99"/>
    <w:rPr>
      <w:b/>
      <w:bCs/>
    </w:rPr>
  </w:style>
  <w:style w:type="paragraph" w:styleId="14">
    <w:name w:val="footer"/>
    <w:basedOn w:val="1"/>
    <w:unhideWhenUsed/>
    <w:qFormat/>
    <w:uiPriority w:val="99"/>
    <w:pPr>
      <w:tabs>
        <w:tab w:val="center" w:pos="4819"/>
        <w:tab w:val="right" w:pos="9638"/>
      </w:tabs>
      <w:spacing w:before="0" w:after="0" w:line="240" w:lineRule="auto"/>
    </w:pPr>
  </w:style>
  <w:style w:type="paragraph" w:styleId="15">
    <w:name w:val="footnote text"/>
    <w:basedOn w:val="1"/>
    <w:semiHidden/>
    <w:unhideWhenUsed/>
    <w:qFormat/>
    <w:uiPriority w:val="99"/>
    <w:pPr>
      <w:spacing w:before="0" w:after="0" w:line="240" w:lineRule="auto"/>
      <w:ind w:right="0" w:firstLine="0"/>
    </w:pPr>
    <w:rPr>
      <w:rFonts w:asciiTheme="minorHAnsi" w:hAnsiTheme="minorHAnsi" w:eastAsiaTheme="minorHAnsi" w:cstheme="minorBidi"/>
      <w:color w:val="00000A"/>
      <w:kern w:val="0"/>
      <w:sz w:val="20"/>
      <w:szCs w:val="20"/>
      <w:lang w:eastAsia="en-US"/>
      <w14:ligatures w14:val="none"/>
    </w:rPr>
  </w:style>
  <w:style w:type="paragraph" w:styleId="16">
    <w:name w:val="header"/>
    <w:basedOn w:val="1"/>
    <w:unhideWhenUsed/>
    <w:qFormat/>
    <w:uiPriority w:val="99"/>
    <w:pPr>
      <w:tabs>
        <w:tab w:val="center" w:pos="4819"/>
        <w:tab w:val="right" w:pos="9638"/>
      </w:tabs>
      <w:spacing w:before="0" w:after="0" w:line="240" w:lineRule="auto"/>
    </w:pPr>
  </w:style>
  <w:style w:type="paragraph" w:styleId="17">
    <w:name w:val="List"/>
    <w:basedOn w:val="9"/>
    <w:qFormat/>
    <w:uiPriority w:val="0"/>
    <w:rPr>
      <w:rFonts w:cs="Lucida Sans"/>
    </w:rPr>
  </w:style>
  <w:style w:type="paragraph" w:styleId="18">
    <w:name w:val="Normal (Web)"/>
    <w:basedOn w:val="1"/>
    <w:semiHidden/>
    <w:unhideWhenUsed/>
    <w:qFormat/>
    <w:uiPriority w:val="99"/>
    <w:pPr>
      <w:spacing w:beforeAutospacing="1" w:afterAutospacing="1" w:line="240" w:lineRule="auto"/>
      <w:ind w:right="0" w:firstLine="0"/>
    </w:pPr>
    <w:rPr>
      <w:rFonts w:ascii="Times New Roman" w:hAnsi="Times New Roman" w:eastAsia="Times New Roman" w:cs="Times New Roman"/>
      <w:color w:val="00000A"/>
      <w:kern w:val="0"/>
      <w14:ligatures w14:val="none"/>
    </w:rPr>
  </w:style>
  <w:style w:type="character" w:styleId="19">
    <w:name w:val="Strong"/>
    <w:basedOn w:val="6"/>
    <w:qFormat/>
    <w:uiPriority w:val="22"/>
    <w:rPr>
      <w:b/>
      <w:bCs/>
    </w:rPr>
  </w:style>
  <w:style w:type="table" w:styleId="20">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1">
    <w:name w:val="Title"/>
    <w:basedOn w:val="1"/>
    <w:qFormat/>
    <w:uiPriority w:val="0"/>
    <w:pPr>
      <w:keepNext/>
      <w:spacing w:before="240" w:after="120"/>
    </w:pPr>
    <w:rPr>
      <w:rFonts w:ascii="Liberation Sans" w:hAnsi="Liberation Sans" w:eastAsia="Microsoft YaHei" w:cs="Lucida Sans"/>
      <w:sz w:val="28"/>
      <w:szCs w:val="28"/>
    </w:rPr>
  </w:style>
  <w:style w:type="paragraph" w:styleId="22">
    <w:name w:val="toc 1"/>
    <w:basedOn w:val="1"/>
    <w:autoRedefine/>
    <w:unhideWhenUsed/>
    <w:qFormat/>
    <w:uiPriority w:val="39"/>
    <w:pPr>
      <w:spacing w:before="360" w:after="360"/>
    </w:pPr>
    <w:rPr>
      <w:rFonts w:cstheme="minorHAnsi"/>
      <w:bCs/>
      <w:caps/>
      <w:u w:val="single"/>
    </w:rPr>
  </w:style>
  <w:style w:type="paragraph" w:styleId="23">
    <w:name w:val="toc 2"/>
    <w:basedOn w:val="1"/>
    <w:autoRedefine/>
    <w:unhideWhenUsed/>
    <w:qFormat/>
    <w:uiPriority w:val="39"/>
    <w:pPr>
      <w:spacing w:before="0" w:after="0"/>
    </w:pPr>
    <w:rPr>
      <w:rFonts w:cstheme="minorHAnsi"/>
      <w:bCs/>
      <w:smallCaps/>
    </w:rPr>
  </w:style>
  <w:style w:type="paragraph" w:styleId="24">
    <w:name w:val="toc 3"/>
    <w:basedOn w:val="1"/>
    <w:autoRedefine/>
    <w:unhideWhenUsed/>
    <w:qFormat/>
    <w:uiPriority w:val="39"/>
    <w:pPr>
      <w:spacing w:before="0" w:after="0"/>
    </w:pPr>
    <w:rPr>
      <w:rFonts w:asciiTheme="minorHAnsi" w:hAnsiTheme="minorHAnsi" w:cstheme="minorHAnsi"/>
      <w:smallCaps/>
    </w:rPr>
  </w:style>
  <w:style w:type="paragraph" w:styleId="25">
    <w:name w:val="toc 4"/>
    <w:basedOn w:val="1"/>
    <w:autoRedefine/>
    <w:unhideWhenUsed/>
    <w:qFormat/>
    <w:uiPriority w:val="39"/>
    <w:pPr>
      <w:spacing w:before="0" w:after="0"/>
    </w:pPr>
    <w:rPr>
      <w:rFonts w:asciiTheme="minorHAnsi" w:hAnsiTheme="minorHAnsi" w:cstheme="minorHAnsi"/>
    </w:rPr>
  </w:style>
  <w:style w:type="paragraph" w:styleId="26">
    <w:name w:val="toc 5"/>
    <w:basedOn w:val="1"/>
    <w:autoRedefine/>
    <w:unhideWhenUsed/>
    <w:qFormat/>
    <w:uiPriority w:val="39"/>
    <w:pPr>
      <w:spacing w:before="0" w:after="0"/>
    </w:pPr>
    <w:rPr>
      <w:rFonts w:asciiTheme="minorHAnsi" w:hAnsiTheme="minorHAnsi" w:cstheme="minorHAnsi"/>
    </w:rPr>
  </w:style>
  <w:style w:type="paragraph" w:styleId="27">
    <w:name w:val="toc 6"/>
    <w:basedOn w:val="1"/>
    <w:autoRedefine/>
    <w:unhideWhenUsed/>
    <w:qFormat/>
    <w:uiPriority w:val="39"/>
    <w:pPr>
      <w:spacing w:before="0" w:after="0"/>
    </w:pPr>
    <w:rPr>
      <w:rFonts w:asciiTheme="minorHAnsi" w:hAnsiTheme="minorHAnsi" w:cstheme="minorHAnsi"/>
    </w:rPr>
  </w:style>
  <w:style w:type="paragraph" w:styleId="28">
    <w:name w:val="toc 7"/>
    <w:basedOn w:val="1"/>
    <w:autoRedefine/>
    <w:unhideWhenUsed/>
    <w:qFormat/>
    <w:uiPriority w:val="39"/>
    <w:pPr>
      <w:spacing w:before="0" w:after="0"/>
    </w:pPr>
    <w:rPr>
      <w:rFonts w:asciiTheme="minorHAnsi" w:hAnsiTheme="minorHAnsi" w:cstheme="minorHAnsi"/>
    </w:rPr>
  </w:style>
  <w:style w:type="paragraph" w:styleId="29">
    <w:name w:val="toc 8"/>
    <w:basedOn w:val="1"/>
    <w:autoRedefine/>
    <w:unhideWhenUsed/>
    <w:qFormat/>
    <w:uiPriority w:val="39"/>
    <w:pPr>
      <w:spacing w:before="0" w:after="0"/>
    </w:pPr>
    <w:rPr>
      <w:rFonts w:asciiTheme="minorHAnsi" w:hAnsiTheme="minorHAnsi" w:cstheme="minorHAnsi"/>
    </w:rPr>
  </w:style>
  <w:style w:type="paragraph" w:styleId="30">
    <w:name w:val="toc 9"/>
    <w:basedOn w:val="1"/>
    <w:autoRedefine/>
    <w:unhideWhenUsed/>
    <w:qFormat/>
    <w:uiPriority w:val="39"/>
    <w:pPr>
      <w:spacing w:before="0" w:after="0"/>
    </w:pPr>
    <w:rPr>
      <w:rFonts w:asciiTheme="minorHAnsi" w:hAnsiTheme="minorHAnsi" w:cstheme="minorHAnsi"/>
    </w:rPr>
  </w:style>
  <w:style w:type="character" w:customStyle="1" w:styleId="31">
    <w:name w:val="Richiamo alla nota a piè di pagina"/>
    <w:uiPriority w:val="0"/>
    <w:rPr>
      <w:vertAlign w:val="superscript"/>
    </w:rPr>
  </w:style>
  <w:style w:type="character" w:customStyle="1" w:styleId="32">
    <w:name w:val="Footnote Characters"/>
    <w:basedOn w:val="6"/>
    <w:semiHidden/>
    <w:unhideWhenUsed/>
    <w:qFormat/>
    <w:uiPriority w:val="99"/>
    <w:rPr>
      <w:vertAlign w:val="superscript"/>
    </w:rPr>
  </w:style>
  <w:style w:type="character" w:customStyle="1" w:styleId="33">
    <w:name w:val="Collegamento Internet"/>
    <w:basedOn w:val="6"/>
    <w:unhideWhenUsed/>
    <w:qFormat/>
    <w:uiPriority w:val="99"/>
    <w:rPr>
      <w:color w:val="0563C1" w:themeColor="hyperlink"/>
      <w:u w:val="single"/>
      <w14:textFill>
        <w14:solidFill>
          <w14:schemeClr w14:val="hlink"/>
        </w14:solidFill>
      </w14:textFill>
    </w:rPr>
  </w:style>
  <w:style w:type="character" w:customStyle="1" w:styleId="34">
    <w:name w:val="Intestazione Carattere"/>
    <w:basedOn w:val="6"/>
    <w:qFormat/>
    <w:uiPriority w:val="99"/>
    <w:rPr>
      <w:rFonts w:ascii="Calibri" w:hAnsi="Calibri" w:eastAsia="Calibri" w:cs="Calibri"/>
      <w:color w:val="000000"/>
      <w:lang w:eastAsia="it-IT"/>
    </w:rPr>
  </w:style>
  <w:style w:type="character" w:customStyle="1" w:styleId="35">
    <w:name w:val="Piè di pagina Carattere"/>
    <w:basedOn w:val="6"/>
    <w:qFormat/>
    <w:uiPriority w:val="99"/>
    <w:rPr>
      <w:rFonts w:ascii="Calibri" w:hAnsi="Calibri" w:eastAsia="Calibri" w:cs="Calibri"/>
      <w:color w:val="000000"/>
      <w:lang w:eastAsia="it-IT"/>
    </w:rPr>
  </w:style>
  <w:style w:type="character" w:customStyle="1" w:styleId="36">
    <w:name w:val="Titolo 1 Carattere"/>
    <w:basedOn w:val="6"/>
    <w:qFormat/>
    <w:uiPriority w:val="9"/>
    <w:rPr>
      <w:rFonts w:ascii="Calibri Light" w:hAnsi="Calibri Light" w:eastAsia="Times New Roman" w:cstheme="majorBidi"/>
      <w:b/>
      <w:bCs/>
      <w:smallCaps/>
      <w:color w:val="2F5597" w:themeColor="accent1" w:themeShade="BF"/>
      <w:spacing w:val="30"/>
      <w:kern w:val="0"/>
      <w:sz w:val="32"/>
      <w:szCs w:val="40"/>
      <w14:ligatures w14:val="none"/>
    </w:rPr>
  </w:style>
  <w:style w:type="character" w:customStyle="1" w:styleId="37">
    <w:name w:val="Titolo 2 Carattere"/>
    <w:basedOn w:val="6"/>
    <w:qFormat/>
    <w:uiPriority w:val="9"/>
    <w:rPr>
      <w:rFonts w:ascii="Calibri" w:hAnsi="Calibri" w:eastAsia="Calibri" w:cs="Calibri"/>
      <w:smallCaps/>
      <w:color w:val="2F5597" w:themeColor="accent1" w:themeShade="BF"/>
      <w:sz w:val="28"/>
      <w:szCs w:val="28"/>
      <w:shd w:val="clear" w:fill="D9E2F3"/>
      <w:lang w:eastAsia="it-IT"/>
    </w:rPr>
  </w:style>
  <w:style w:type="character" w:customStyle="1" w:styleId="38">
    <w:name w:val="Titolo 3 Carattere"/>
    <w:basedOn w:val="6"/>
    <w:qFormat/>
    <w:uiPriority w:val="9"/>
    <w:rPr>
      <w:rFonts w:eastAsia="Calibri" w:asciiTheme="majorHAnsi" w:hAnsiTheme="majorHAnsi" w:cstheme="majorHAnsi"/>
      <w:b/>
      <w:bCs/>
      <w:color w:val="2F5597" w:themeColor="accent1" w:themeShade="BF"/>
      <w:sz w:val="24"/>
      <w:szCs w:val="24"/>
      <w:lang w:eastAsia="it-IT"/>
    </w:rPr>
  </w:style>
  <w:style w:type="character" w:customStyle="1" w:styleId="39">
    <w:name w:val="Titolo 5 Carattere"/>
    <w:basedOn w:val="6"/>
    <w:semiHidden/>
    <w:qFormat/>
    <w:uiPriority w:val="9"/>
    <w:rPr>
      <w:rFonts w:asciiTheme="majorHAnsi" w:hAnsiTheme="majorHAnsi" w:eastAsiaTheme="majorEastAsia" w:cstheme="majorBidi"/>
      <w:color w:val="2F5597" w:themeColor="accent1" w:themeShade="BF"/>
      <w:kern w:val="0"/>
      <w14:ligatures w14:val="none"/>
    </w:rPr>
  </w:style>
  <w:style w:type="character" w:customStyle="1" w:styleId="40">
    <w:name w:val="Menzione non risolta1"/>
    <w:basedOn w:val="6"/>
    <w:semiHidden/>
    <w:unhideWhenUsed/>
    <w:qFormat/>
    <w:uiPriority w:val="99"/>
    <w:rPr>
      <w:color w:val="605E5C"/>
      <w:shd w:val="clear" w:fill="E1DFDD"/>
    </w:rPr>
  </w:style>
  <w:style w:type="character" w:customStyle="1" w:styleId="41">
    <w:name w:val="markedcontent"/>
    <w:basedOn w:val="6"/>
    <w:qFormat/>
    <w:uiPriority w:val="0"/>
  </w:style>
  <w:style w:type="character" w:customStyle="1" w:styleId="42">
    <w:name w:val="Testo nota a piè di pagina Carattere"/>
    <w:basedOn w:val="6"/>
    <w:semiHidden/>
    <w:qFormat/>
    <w:uiPriority w:val="99"/>
    <w:rPr>
      <w:kern w:val="0"/>
      <w:sz w:val="20"/>
      <w:szCs w:val="20"/>
      <w14:ligatures w14:val="none"/>
    </w:rPr>
  </w:style>
  <w:style w:type="character" w:customStyle="1" w:styleId="43">
    <w:name w:val="Testo commento Carattere"/>
    <w:basedOn w:val="6"/>
    <w:semiHidden/>
    <w:qFormat/>
    <w:uiPriority w:val="99"/>
    <w:rPr>
      <w:kern w:val="0"/>
      <w:sz w:val="20"/>
      <w:szCs w:val="20"/>
      <w14:ligatures w14:val="none"/>
    </w:rPr>
  </w:style>
  <w:style w:type="character" w:customStyle="1" w:styleId="44">
    <w:name w:val="Soggetto commento Carattere"/>
    <w:basedOn w:val="43"/>
    <w:semiHidden/>
    <w:qFormat/>
    <w:uiPriority w:val="99"/>
    <w:rPr>
      <w:b/>
      <w:bCs/>
      <w:kern w:val="0"/>
      <w:sz w:val="20"/>
      <w:szCs w:val="20"/>
      <w14:ligatures w14:val="none"/>
    </w:rPr>
  </w:style>
  <w:style w:type="character" w:customStyle="1" w:styleId="45">
    <w:name w:val="Testo fumetto Carattere"/>
    <w:basedOn w:val="6"/>
    <w:semiHidden/>
    <w:qFormat/>
    <w:uiPriority w:val="99"/>
    <w:rPr>
      <w:rFonts w:ascii="Times New Roman" w:hAnsi="Times New Roman" w:cs="Times New Roman"/>
      <w:kern w:val="0"/>
      <w:sz w:val="18"/>
      <w:szCs w:val="18"/>
      <w14:ligatures w14:val="none"/>
    </w:rPr>
  </w:style>
  <w:style w:type="character" w:customStyle="1" w:styleId="46">
    <w:name w:val="Enfasi intensa1"/>
    <w:basedOn w:val="6"/>
    <w:qFormat/>
    <w:uiPriority w:val="21"/>
    <w:rPr>
      <w:rFonts w:ascii="Calibri Light" w:hAnsi="Calibri Light"/>
      <w:iCs/>
      <w:caps/>
      <w:color w:val="4472C4" w:themeColor="accent1"/>
      <w:position w:val="0"/>
      <w:sz w:val="52"/>
      <w:vertAlign w:val="baseline"/>
      <w14:textFill>
        <w14:solidFill>
          <w14:schemeClr w14:val="accent1"/>
        </w14:solidFill>
      </w14:textFill>
    </w:rPr>
  </w:style>
  <w:style w:type="character" w:customStyle="1" w:styleId="47">
    <w:name w:val="Enfasi delicata1"/>
    <w:qFormat/>
    <w:uiPriority w:val="19"/>
    <w:rPr>
      <w:rFonts w:ascii="Calibri Light" w:hAnsi="Calibri Light"/>
      <w:caps/>
      <w:sz w:val="20"/>
      <w:szCs w:val="20"/>
    </w:rPr>
  </w:style>
  <w:style w:type="character" w:customStyle="1" w:styleId="48">
    <w:name w:val="ListLabel 1"/>
    <w:qFormat/>
    <w:uiPriority w:val="0"/>
    <w:rPr>
      <w:rFonts w:cs="Courier New"/>
    </w:rPr>
  </w:style>
  <w:style w:type="character" w:customStyle="1" w:styleId="49">
    <w:name w:val="ListLabel 2"/>
    <w:qFormat/>
    <w:uiPriority w:val="0"/>
    <w:rPr>
      <w:rFonts w:cs="Courier New"/>
    </w:rPr>
  </w:style>
  <w:style w:type="character" w:customStyle="1" w:styleId="50">
    <w:name w:val="ListLabel 3"/>
    <w:qFormat/>
    <w:uiPriority w:val="0"/>
    <w:rPr>
      <w:rFonts w:cs="Courier New"/>
    </w:rPr>
  </w:style>
  <w:style w:type="character" w:customStyle="1" w:styleId="51">
    <w:name w:val="ListLabel 4"/>
    <w:qFormat/>
    <w:uiPriority w:val="0"/>
    <w:rPr>
      <w:rFonts w:cs="Courier New"/>
    </w:rPr>
  </w:style>
  <w:style w:type="character" w:customStyle="1" w:styleId="52">
    <w:name w:val="ListLabel 5"/>
    <w:qFormat/>
    <w:uiPriority w:val="0"/>
    <w:rPr>
      <w:rFonts w:cs="Courier New"/>
    </w:rPr>
  </w:style>
  <w:style w:type="character" w:customStyle="1" w:styleId="53">
    <w:name w:val="ListLabel 6"/>
    <w:qFormat/>
    <w:uiPriority w:val="0"/>
    <w:rPr>
      <w:rFonts w:cs="Courier New"/>
    </w:rPr>
  </w:style>
  <w:style w:type="character" w:customStyle="1" w:styleId="54">
    <w:name w:val="ListLabel 7"/>
    <w:qFormat/>
    <w:uiPriority w:val="0"/>
    <w:rPr>
      <w:rFonts w:cs="Courier New"/>
    </w:rPr>
  </w:style>
  <w:style w:type="character" w:customStyle="1" w:styleId="55">
    <w:name w:val="ListLabel 8"/>
    <w:qFormat/>
    <w:uiPriority w:val="0"/>
    <w:rPr>
      <w:rFonts w:cs="Courier New"/>
    </w:rPr>
  </w:style>
  <w:style w:type="character" w:customStyle="1" w:styleId="56">
    <w:name w:val="ListLabel 9"/>
    <w:qFormat/>
    <w:uiPriority w:val="0"/>
    <w:rPr>
      <w:rFonts w:cs="Courier New"/>
    </w:rPr>
  </w:style>
  <w:style w:type="character" w:customStyle="1" w:styleId="57">
    <w:name w:val="ListLabel 10"/>
    <w:qFormat/>
    <w:uiPriority w:val="0"/>
    <w:rPr>
      <w:rFonts w:cs="Courier New"/>
    </w:rPr>
  </w:style>
  <w:style w:type="character" w:customStyle="1" w:styleId="58">
    <w:name w:val="ListLabel 11"/>
    <w:qFormat/>
    <w:uiPriority w:val="0"/>
    <w:rPr>
      <w:rFonts w:cs="Courier New"/>
    </w:rPr>
  </w:style>
  <w:style w:type="character" w:customStyle="1" w:styleId="59">
    <w:name w:val="ListLabel 12"/>
    <w:qFormat/>
    <w:uiPriority w:val="0"/>
    <w:rPr>
      <w:rFonts w:cs="Courier New"/>
    </w:rPr>
  </w:style>
  <w:style w:type="character" w:customStyle="1" w:styleId="60">
    <w:name w:val="ListLabel 13"/>
    <w:qFormat/>
    <w:uiPriority w:val="0"/>
    <w:rPr>
      <w:rFonts w:cs="Courier New"/>
    </w:rPr>
  </w:style>
  <w:style w:type="character" w:customStyle="1" w:styleId="61">
    <w:name w:val="ListLabel 14"/>
    <w:qFormat/>
    <w:uiPriority w:val="0"/>
    <w:rPr>
      <w:rFonts w:cs="Courier New"/>
    </w:rPr>
  </w:style>
  <w:style w:type="character" w:customStyle="1" w:styleId="62">
    <w:name w:val="ListLabel 15"/>
    <w:qFormat/>
    <w:uiPriority w:val="0"/>
    <w:rPr>
      <w:rFonts w:cs="Courier New"/>
    </w:rPr>
  </w:style>
  <w:style w:type="character" w:customStyle="1" w:styleId="63">
    <w:name w:val="ListLabel 16"/>
    <w:qFormat/>
    <w:uiPriority w:val="0"/>
    <w:rPr>
      <w:rFonts w:cs="Courier New"/>
    </w:rPr>
  </w:style>
  <w:style w:type="character" w:customStyle="1" w:styleId="64">
    <w:name w:val="ListLabel 17"/>
    <w:qFormat/>
    <w:uiPriority w:val="0"/>
    <w:rPr>
      <w:rFonts w:cs="Courier New"/>
    </w:rPr>
  </w:style>
  <w:style w:type="character" w:customStyle="1" w:styleId="65">
    <w:name w:val="ListLabel 18"/>
    <w:qFormat/>
    <w:uiPriority w:val="0"/>
    <w:rPr>
      <w:rFonts w:cs="Courier New"/>
    </w:rPr>
  </w:style>
  <w:style w:type="character" w:customStyle="1" w:styleId="66">
    <w:name w:val="ListLabel 19"/>
    <w:qFormat/>
    <w:uiPriority w:val="0"/>
    <w:rPr>
      <w:rFonts w:ascii="Calibri Light" w:hAnsi="Calibri Light" w:cs="Courier New"/>
    </w:rPr>
  </w:style>
  <w:style w:type="character" w:customStyle="1" w:styleId="67">
    <w:name w:val="ListLabel 20"/>
    <w:qFormat/>
    <w:uiPriority w:val="0"/>
    <w:rPr>
      <w:rFonts w:cs="Courier New"/>
    </w:rPr>
  </w:style>
  <w:style w:type="character" w:customStyle="1" w:styleId="68">
    <w:name w:val="ListLabel 21"/>
    <w:qFormat/>
    <w:uiPriority w:val="0"/>
    <w:rPr>
      <w:rFonts w:cs="Courier New"/>
    </w:rPr>
  </w:style>
  <w:style w:type="character" w:customStyle="1" w:styleId="69">
    <w:name w:val="ListLabel 22"/>
    <w:qFormat/>
    <w:uiPriority w:val="0"/>
    <w:rPr>
      <w:rFonts w:cs="Courier New"/>
    </w:rPr>
  </w:style>
  <w:style w:type="character" w:customStyle="1" w:styleId="70">
    <w:name w:val="ListLabel 23"/>
    <w:qFormat/>
    <w:uiPriority w:val="0"/>
    <w:rPr>
      <w:rFonts w:cs="Courier New"/>
    </w:rPr>
  </w:style>
  <w:style w:type="character" w:customStyle="1" w:styleId="71">
    <w:name w:val="ListLabel 24"/>
    <w:qFormat/>
    <w:uiPriority w:val="0"/>
    <w:rPr>
      <w:rFonts w:cs="Courier New"/>
    </w:rPr>
  </w:style>
  <w:style w:type="character" w:customStyle="1" w:styleId="72">
    <w:name w:val="ListLabel 25"/>
    <w:qFormat/>
    <w:uiPriority w:val="0"/>
    <w:rPr>
      <w:rFonts w:ascii="Calibri Light" w:hAnsi="Calibri Light" w:cs="Courier New"/>
    </w:rPr>
  </w:style>
  <w:style w:type="character" w:customStyle="1" w:styleId="73">
    <w:name w:val="ListLabel 26"/>
    <w:qFormat/>
    <w:uiPriority w:val="0"/>
    <w:rPr>
      <w:rFonts w:cs="Courier New"/>
    </w:rPr>
  </w:style>
  <w:style w:type="character" w:customStyle="1" w:styleId="74">
    <w:name w:val="ListLabel 27"/>
    <w:qFormat/>
    <w:uiPriority w:val="0"/>
    <w:rPr>
      <w:rFonts w:cs="Courier New"/>
    </w:rPr>
  </w:style>
  <w:style w:type="character" w:customStyle="1" w:styleId="75">
    <w:name w:val="ListLabel 28"/>
    <w:qFormat/>
    <w:uiPriority w:val="0"/>
    <w:rPr>
      <w:rFonts w:cs="Courier New"/>
    </w:rPr>
  </w:style>
  <w:style w:type="character" w:customStyle="1" w:styleId="76">
    <w:name w:val="ListLabel 29"/>
    <w:qFormat/>
    <w:uiPriority w:val="0"/>
    <w:rPr>
      <w:rFonts w:cs="Courier New"/>
    </w:rPr>
  </w:style>
  <w:style w:type="character" w:customStyle="1" w:styleId="77">
    <w:name w:val="ListLabel 30"/>
    <w:qFormat/>
    <w:uiPriority w:val="0"/>
    <w:rPr>
      <w:rFonts w:cs="Courier New"/>
    </w:rPr>
  </w:style>
  <w:style w:type="character" w:customStyle="1" w:styleId="78">
    <w:name w:val="ListLabel 31"/>
    <w:qFormat/>
    <w:uiPriority w:val="0"/>
    <w:rPr>
      <w:rFonts w:cs="Courier New"/>
    </w:rPr>
  </w:style>
  <w:style w:type="character" w:customStyle="1" w:styleId="79">
    <w:name w:val="ListLabel 32"/>
    <w:qFormat/>
    <w:uiPriority w:val="0"/>
    <w:rPr>
      <w:rFonts w:cs="Courier New"/>
    </w:rPr>
  </w:style>
  <w:style w:type="character" w:customStyle="1" w:styleId="80">
    <w:name w:val="ListLabel 33"/>
    <w:qFormat/>
    <w:uiPriority w:val="0"/>
    <w:rPr>
      <w:rFonts w:cs="Courier New"/>
    </w:rPr>
  </w:style>
  <w:style w:type="character" w:customStyle="1" w:styleId="81">
    <w:name w:val="ListLabel 34"/>
    <w:qFormat/>
    <w:uiPriority w:val="0"/>
    <w:rPr>
      <w:rFonts w:cs="Courier New"/>
    </w:rPr>
  </w:style>
  <w:style w:type="character" w:customStyle="1" w:styleId="82">
    <w:name w:val="ListLabel 35"/>
    <w:qFormat/>
    <w:uiPriority w:val="0"/>
    <w:rPr>
      <w:rFonts w:cs="Courier New"/>
    </w:rPr>
  </w:style>
  <w:style w:type="character" w:customStyle="1" w:styleId="83">
    <w:name w:val="ListLabel 36"/>
    <w:qFormat/>
    <w:uiPriority w:val="0"/>
    <w:rPr>
      <w:rFonts w:cs="Courier New"/>
    </w:rPr>
  </w:style>
  <w:style w:type="character" w:customStyle="1" w:styleId="84">
    <w:name w:val="ListLabel 37"/>
    <w:qFormat/>
    <w:uiPriority w:val="0"/>
    <w:rPr>
      <w:rFonts w:cs="Courier New"/>
    </w:rPr>
  </w:style>
  <w:style w:type="character" w:customStyle="1" w:styleId="85">
    <w:name w:val="ListLabel 38"/>
    <w:qFormat/>
    <w:uiPriority w:val="0"/>
    <w:rPr>
      <w:rFonts w:cs="Courier New"/>
    </w:rPr>
  </w:style>
  <w:style w:type="character" w:customStyle="1" w:styleId="86">
    <w:name w:val="ListLabel 39"/>
    <w:qFormat/>
    <w:uiPriority w:val="0"/>
    <w:rPr>
      <w:rFonts w:cs="Courier New"/>
    </w:rPr>
  </w:style>
  <w:style w:type="character" w:customStyle="1" w:styleId="87">
    <w:name w:val="ListLabel 40"/>
    <w:qFormat/>
    <w:uiPriority w:val="0"/>
    <w:rPr>
      <w:rFonts w:cs="Courier New"/>
    </w:rPr>
  </w:style>
  <w:style w:type="character" w:customStyle="1" w:styleId="88">
    <w:name w:val="ListLabel 41"/>
    <w:qFormat/>
    <w:uiPriority w:val="0"/>
    <w:rPr>
      <w:rFonts w:cs="Courier New"/>
    </w:rPr>
  </w:style>
  <w:style w:type="character" w:customStyle="1" w:styleId="89">
    <w:name w:val="ListLabel 42"/>
    <w:qFormat/>
    <w:uiPriority w:val="0"/>
    <w:rPr>
      <w:rFonts w:cs="Courier New"/>
    </w:rPr>
  </w:style>
  <w:style w:type="character" w:customStyle="1" w:styleId="90">
    <w:name w:val="ListLabel 43"/>
    <w:qFormat/>
    <w:uiPriority w:val="0"/>
    <w:rPr>
      <w:rFonts w:cs="Courier New"/>
    </w:rPr>
  </w:style>
  <w:style w:type="character" w:customStyle="1" w:styleId="91">
    <w:name w:val="ListLabel 44"/>
    <w:qFormat/>
    <w:uiPriority w:val="0"/>
    <w:rPr>
      <w:rFonts w:cs="Courier New"/>
    </w:rPr>
  </w:style>
  <w:style w:type="character" w:customStyle="1" w:styleId="92">
    <w:name w:val="ListLabel 45"/>
    <w:qFormat/>
    <w:uiPriority w:val="0"/>
    <w:rPr>
      <w:rFonts w:cs="Courier New"/>
    </w:rPr>
  </w:style>
  <w:style w:type="character" w:customStyle="1" w:styleId="93">
    <w:name w:val="ListLabel 46"/>
    <w:qFormat/>
    <w:uiPriority w:val="0"/>
    <w:rPr>
      <w:rFonts w:cs="Courier New"/>
    </w:rPr>
  </w:style>
  <w:style w:type="character" w:customStyle="1" w:styleId="94">
    <w:name w:val="ListLabel 47"/>
    <w:qFormat/>
    <w:uiPriority w:val="0"/>
    <w:rPr>
      <w:rFonts w:cs="Courier New"/>
    </w:rPr>
  </w:style>
  <w:style w:type="character" w:customStyle="1" w:styleId="95">
    <w:name w:val="ListLabel 48"/>
    <w:qFormat/>
    <w:uiPriority w:val="0"/>
    <w:rPr>
      <w:rFonts w:cs="Courier New"/>
    </w:rPr>
  </w:style>
  <w:style w:type="character" w:customStyle="1" w:styleId="96">
    <w:name w:val="ListLabel 49"/>
    <w:qFormat/>
    <w:uiPriority w:val="0"/>
    <w:rPr>
      <w:rFonts w:cs="Courier New"/>
    </w:rPr>
  </w:style>
  <w:style w:type="character" w:customStyle="1" w:styleId="97">
    <w:name w:val="ListLabel 50"/>
    <w:qFormat/>
    <w:uiPriority w:val="0"/>
    <w:rPr>
      <w:rFonts w:cs="Courier New"/>
    </w:rPr>
  </w:style>
  <w:style w:type="character" w:customStyle="1" w:styleId="98">
    <w:name w:val="ListLabel 51"/>
    <w:qFormat/>
    <w:uiPriority w:val="0"/>
    <w:rPr>
      <w:rFonts w:cs="Courier New"/>
    </w:rPr>
  </w:style>
  <w:style w:type="character" w:customStyle="1" w:styleId="99">
    <w:name w:val="ListLabel 52"/>
    <w:qFormat/>
    <w:uiPriority w:val="0"/>
    <w:rPr>
      <w:rFonts w:cs="Courier New"/>
    </w:rPr>
  </w:style>
  <w:style w:type="character" w:customStyle="1" w:styleId="100">
    <w:name w:val="ListLabel 53"/>
    <w:qFormat/>
    <w:uiPriority w:val="0"/>
    <w:rPr>
      <w:rFonts w:cs="Courier New"/>
    </w:rPr>
  </w:style>
  <w:style w:type="character" w:customStyle="1" w:styleId="101">
    <w:name w:val="ListLabel 54"/>
    <w:qFormat/>
    <w:uiPriority w:val="0"/>
    <w:rPr>
      <w:rFonts w:cs="Courier New"/>
    </w:rPr>
  </w:style>
  <w:style w:type="character" w:customStyle="1" w:styleId="102">
    <w:name w:val="ListLabel 55"/>
    <w:qFormat/>
    <w:uiPriority w:val="0"/>
    <w:rPr>
      <w:rFonts w:cs="Courier New"/>
    </w:rPr>
  </w:style>
  <w:style w:type="character" w:customStyle="1" w:styleId="103">
    <w:name w:val="ListLabel 56"/>
    <w:qFormat/>
    <w:uiPriority w:val="0"/>
    <w:rPr>
      <w:rFonts w:cs="Courier New"/>
    </w:rPr>
  </w:style>
  <w:style w:type="character" w:customStyle="1" w:styleId="104">
    <w:name w:val="ListLabel 57"/>
    <w:qFormat/>
    <w:uiPriority w:val="0"/>
    <w:rPr>
      <w:rFonts w:cs="Courier New"/>
    </w:rPr>
  </w:style>
  <w:style w:type="character" w:customStyle="1" w:styleId="105">
    <w:name w:val="ListLabel 58"/>
    <w:qFormat/>
    <w:uiPriority w:val="0"/>
    <w:rPr>
      <w:rFonts w:cs="Courier New"/>
    </w:rPr>
  </w:style>
  <w:style w:type="character" w:customStyle="1" w:styleId="106">
    <w:name w:val="ListLabel 59"/>
    <w:qFormat/>
    <w:uiPriority w:val="0"/>
    <w:rPr>
      <w:rFonts w:cs="Courier New"/>
    </w:rPr>
  </w:style>
  <w:style w:type="character" w:customStyle="1" w:styleId="107">
    <w:name w:val="ListLabel 60"/>
    <w:qFormat/>
    <w:uiPriority w:val="0"/>
    <w:rPr>
      <w:rFonts w:cs="Courier New"/>
    </w:rPr>
  </w:style>
  <w:style w:type="character" w:customStyle="1" w:styleId="108">
    <w:name w:val="ListLabel 61"/>
    <w:qFormat/>
    <w:uiPriority w:val="0"/>
    <w:rPr>
      <w:rFonts w:cs="Courier New"/>
    </w:rPr>
  </w:style>
  <w:style w:type="character" w:customStyle="1" w:styleId="109">
    <w:name w:val="ListLabel 62"/>
    <w:qFormat/>
    <w:uiPriority w:val="0"/>
    <w:rPr>
      <w:rFonts w:cs="Courier New"/>
    </w:rPr>
  </w:style>
  <w:style w:type="character" w:customStyle="1" w:styleId="110">
    <w:name w:val="ListLabel 63"/>
    <w:qFormat/>
    <w:uiPriority w:val="0"/>
    <w:rPr>
      <w:rFonts w:cs="Courier New"/>
    </w:rPr>
  </w:style>
  <w:style w:type="character" w:customStyle="1" w:styleId="111">
    <w:name w:val="ListLabel 64"/>
    <w:qFormat/>
    <w:uiPriority w:val="0"/>
    <w:rPr>
      <w:rFonts w:cs="Courier New"/>
    </w:rPr>
  </w:style>
  <w:style w:type="character" w:customStyle="1" w:styleId="112">
    <w:name w:val="ListLabel 65"/>
    <w:qFormat/>
    <w:uiPriority w:val="0"/>
    <w:rPr>
      <w:rFonts w:cs="Courier New"/>
    </w:rPr>
  </w:style>
  <w:style w:type="character" w:customStyle="1" w:styleId="113">
    <w:name w:val="ListLabel 66"/>
    <w:qFormat/>
    <w:uiPriority w:val="0"/>
    <w:rPr>
      <w:rFonts w:cs="Courier New"/>
    </w:rPr>
  </w:style>
  <w:style w:type="character" w:customStyle="1" w:styleId="114">
    <w:name w:val="ListLabel 67"/>
    <w:qFormat/>
    <w:uiPriority w:val="0"/>
    <w:rPr>
      <w:rFonts w:cs="Courier New"/>
    </w:rPr>
  </w:style>
  <w:style w:type="character" w:customStyle="1" w:styleId="115">
    <w:name w:val="ListLabel 68"/>
    <w:qFormat/>
    <w:uiPriority w:val="0"/>
    <w:rPr>
      <w:rFonts w:cs="Courier New"/>
    </w:rPr>
  </w:style>
  <w:style w:type="character" w:customStyle="1" w:styleId="116">
    <w:name w:val="ListLabel 69"/>
    <w:qFormat/>
    <w:uiPriority w:val="0"/>
    <w:rPr>
      <w:rFonts w:cs="Courier New"/>
    </w:rPr>
  </w:style>
  <w:style w:type="character" w:customStyle="1" w:styleId="117">
    <w:name w:val="ListLabel 70"/>
    <w:qFormat/>
    <w:uiPriority w:val="0"/>
    <w:rPr>
      <w:rFonts w:cs="Courier New"/>
    </w:rPr>
  </w:style>
  <w:style w:type="character" w:customStyle="1" w:styleId="118">
    <w:name w:val="ListLabel 71"/>
    <w:qFormat/>
    <w:uiPriority w:val="0"/>
    <w:rPr>
      <w:rFonts w:cs="Courier New"/>
    </w:rPr>
  </w:style>
  <w:style w:type="character" w:customStyle="1" w:styleId="119">
    <w:name w:val="ListLabel 72"/>
    <w:qFormat/>
    <w:uiPriority w:val="0"/>
    <w:rPr>
      <w:rFonts w:cs="Courier New"/>
    </w:rPr>
  </w:style>
  <w:style w:type="character" w:customStyle="1" w:styleId="120">
    <w:name w:val="Salto a indice"/>
    <w:qFormat/>
    <w:uiPriority w:val="0"/>
  </w:style>
  <w:style w:type="character" w:customStyle="1" w:styleId="121">
    <w:name w:val="ListLabel 73"/>
    <w:qFormat/>
    <w:uiPriority w:val="0"/>
    <w:rPr>
      <w:rFonts w:ascii="Calibri Light" w:hAnsi="Calibri Light" w:cs="Symbol"/>
    </w:rPr>
  </w:style>
  <w:style w:type="character" w:customStyle="1" w:styleId="122">
    <w:name w:val="ListLabel 74"/>
    <w:qFormat/>
    <w:uiPriority w:val="0"/>
    <w:rPr>
      <w:rFonts w:cs="Courier New"/>
    </w:rPr>
  </w:style>
  <w:style w:type="character" w:customStyle="1" w:styleId="123">
    <w:name w:val="ListLabel 75"/>
    <w:qFormat/>
    <w:uiPriority w:val="0"/>
    <w:rPr>
      <w:rFonts w:cs="Wingdings"/>
    </w:rPr>
  </w:style>
  <w:style w:type="character" w:customStyle="1" w:styleId="124">
    <w:name w:val="ListLabel 76"/>
    <w:qFormat/>
    <w:uiPriority w:val="0"/>
    <w:rPr>
      <w:rFonts w:cs="Symbol"/>
    </w:rPr>
  </w:style>
  <w:style w:type="character" w:customStyle="1" w:styleId="125">
    <w:name w:val="ListLabel 77"/>
    <w:qFormat/>
    <w:uiPriority w:val="0"/>
    <w:rPr>
      <w:rFonts w:cs="Courier New"/>
    </w:rPr>
  </w:style>
  <w:style w:type="character" w:customStyle="1" w:styleId="126">
    <w:name w:val="ListLabel 78"/>
    <w:qFormat/>
    <w:uiPriority w:val="0"/>
    <w:rPr>
      <w:rFonts w:cs="Wingdings"/>
    </w:rPr>
  </w:style>
  <w:style w:type="character" w:customStyle="1" w:styleId="127">
    <w:name w:val="ListLabel 79"/>
    <w:qFormat/>
    <w:uiPriority w:val="0"/>
    <w:rPr>
      <w:rFonts w:cs="Symbol"/>
    </w:rPr>
  </w:style>
  <w:style w:type="character" w:customStyle="1" w:styleId="128">
    <w:name w:val="ListLabel 80"/>
    <w:qFormat/>
    <w:uiPriority w:val="0"/>
    <w:rPr>
      <w:rFonts w:cs="Courier New"/>
    </w:rPr>
  </w:style>
  <w:style w:type="character" w:customStyle="1" w:styleId="129">
    <w:name w:val="ListLabel 81"/>
    <w:qFormat/>
    <w:uiPriority w:val="0"/>
    <w:rPr>
      <w:rFonts w:cs="Wingdings"/>
    </w:rPr>
  </w:style>
  <w:style w:type="character" w:customStyle="1" w:styleId="130">
    <w:name w:val="ListLabel 82"/>
    <w:qFormat/>
    <w:uiPriority w:val="0"/>
    <w:rPr>
      <w:rFonts w:ascii="Calibri Light" w:hAnsi="Calibri Light" w:cs="Symbol"/>
    </w:rPr>
  </w:style>
  <w:style w:type="character" w:customStyle="1" w:styleId="131">
    <w:name w:val="ListLabel 83"/>
    <w:qFormat/>
    <w:uiPriority w:val="0"/>
    <w:rPr>
      <w:rFonts w:cs="Courier New"/>
    </w:rPr>
  </w:style>
  <w:style w:type="character" w:customStyle="1" w:styleId="132">
    <w:name w:val="ListLabel 84"/>
    <w:qFormat/>
    <w:uiPriority w:val="0"/>
    <w:rPr>
      <w:rFonts w:cs="Wingdings"/>
    </w:rPr>
  </w:style>
  <w:style w:type="character" w:customStyle="1" w:styleId="133">
    <w:name w:val="ListLabel 85"/>
    <w:qFormat/>
    <w:uiPriority w:val="0"/>
    <w:rPr>
      <w:rFonts w:cs="Symbol"/>
    </w:rPr>
  </w:style>
  <w:style w:type="character" w:customStyle="1" w:styleId="134">
    <w:name w:val="ListLabel 86"/>
    <w:qFormat/>
    <w:uiPriority w:val="0"/>
    <w:rPr>
      <w:rFonts w:cs="Courier New"/>
    </w:rPr>
  </w:style>
  <w:style w:type="character" w:customStyle="1" w:styleId="135">
    <w:name w:val="ListLabel 87"/>
    <w:qFormat/>
    <w:uiPriority w:val="0"/>
    <w:rPr>
      <w:rFonts w:cs="Wingdings"/>
    </w:rPr>
  </w:style>
  <w:style w:type="character" w:customStyle="1" w:styleId="136">
    <w:name w:val="ListLabel 88"/>
    <w:qFormat/>
    <w:uiPriority w:val="0"/>
    <w:rPr>
      <w:rFonts w:cs="Symbol"/>
    </w:rPr>
  </w:style>
  <w:style w:type="character" w:customStyle="1" w:styleId="137">
    <w:name w:val="ListLabel 89"/>
    <w:qFormat/>
    <w:uiPriority w:val="0"/>
    <w:rPr>
      <w:rFonts w:cs="Courier New"/>
    </w:rPr>
  </w:style>
  <w:style w:type="character" w:customStyle="1" w:styleId="138">
    <w:name w:val="ListLabel 90"/>
    <w:qFormat/>
    <w:uiPriority w:val="0"/>
    <w:rPr>
      <w:rFonts w:cs="Wingdings"/>
    </w:rPr>
  </w:style>
  <w:style w:type="character" w:customStyle="1" w:styleId="139">
    <w:name w:val="ListLabel 91"/>
    <w:qFormat/>
    <w:uiPriority w:val="0"/>
    <w:rPr>
      <w:rFonts w:ascii="Calibri Light" w:hAnsi="Calibri Light" w:cs="Symbol"/>
    </w:rPr>
  </w:style>
  <w:style w:type="character" w:customStyle="1" w:styleId="140">
    <w:name w:val="ListLabel 92"/>
    <w:qFormat/>
    <w:uiPriority w:val="0"/>
    <w:rPr>
      <w:rFonts w:cs="Courier New"/>
    </w:rPr>
  </w:style>
  <w:style w:type="character" w:customStyle="1" w:styleId="141">
    <w:name w:val="ListLabel 93"/>
    <w:qFormat/>
    <w:uiPriority w:val="0"/>
    <w:rPr>
      <w:rFonts w:cs="Wingdings"/>
    </w:rPr>
  </w:style>
  <w:style w:type="character" w:customStyle="1" w:styleId="142">
    <w:name w:val="ListLabel 94"/>
    <w:qFormat/>
    <w:uiPriority w:val="0"/>
    <w:rPr>
      <w:rFonts w:cs="Symbol"/>
    </w:rPr>
  </w:style>
  <w:style w:type="character" w:customStyle="1" w:styleId="143">
    <w:name w:val="ListLabel 95"/>
    <w:qFormat/>
    <w:uiPriority w:val="0"/>
    <w:rPr>
      <w:rFonts w:cs="Courier New"/>
    </w:rPr>
  </w:style>
  <w:style w:type="character" w:customStyle="1" w:styleId="144">
    <w:name w:val="ListLabel 96"/>
    <w:qFormat/>
    <w:uiPriority w:val="0"/>
    <w:rPr>
      <w:rFonts w:cs="Wingdings"/>
    </w:rPr>
  </w:style>
  <w:style w:type="character" w:customStyle="1" w:styleId="145">
    <w:name w:val="ListLabel 97"/>
    <w:qFormat/>
    <w:uiPriority w:val="0"/>
    <w:rPr>
      <w:rFonts w:cs="Symbol"/>
    </w:rPr>
  </w:style>
  <w:style w:type="character" w:customStyle="1" w:styleId="146">
    <w:name w:val="ListLabel 98"/>
    <w:qFormat/>
    <w:uiPriority w:val="0"/>
    <w:rPr>
      <w:rFonts w:cs="Courier New"/>
    </w:rPr>
  </w:style>
  <w:style w:type="character" w:customStyle="1" w:styleId="147">
    <w:name w:val="ListLabel 99"/>
    <w:qFormat/>
    <w:uiPriority w:val="0"/>
    <w:rPr>
      <w:rFonts w:cs="Wingdings"/>
    </w:rPr>
  </w:style>
  <w:style w:type="character" w:customStyle="1" w:styleId="148">
    <w:name w:val="ListLabel 100"/>
    <w:qFormat/>
    <w:uiPriority w:val="0"/>
    <w:rPr>
      <w:rFonts w:ascii="Calibri Light" w:hAnsi="Calibri Light" w:cs="Symbol"/>
    </w:rPr>
  </w:style>
  <w:style w:type="character" w:customStyle="1" w:styleId="149">
    <w:name w:val="ListLabel 101"/>
    <w:qFormat/>
    <w:uiPriority w:val="0"/>
    <w:rPr>
      <w:rFonts w:cs="Courier New"/>
    </w:rPr>
  </w:style>
  <w:style w:type="character" w:customStyle="1" w:styleId="150">
    <w:name w:val="ListLabel 102"/>
    <w:qFormat/>
    <w:uiPriority w:val="0"/>
    <w:rPr>
      <w:rFonts w:cs="Wingdings"/>
    </w:rPr>
  </w:style>
  <w:style w:type="character" w:customStyle="1" w:styleId="151">
    <w:name w:val="ListLabel 103"/>
    <w:qFormat/>
    <w:uiPriority w:val="0"/>
    <w:rPr>
      <w:rFonts w:cs="Symbol"/>
    </w:rPr>
  </w:style>
  <w:style w:type="character" w:customStyle="1" w:styleId="152">
    <w:name w:val="ListLabel 104"/>
    <w:qFormat/>
    <w:uiPriority w:val="0"/>
    <w:rPr>
      <w:rFonts w:cs="Courier New"/>
    </w:rPr>
  </w:style>
  <w:style w:type="character" w:customStyle="1" w:styleId="153">
    <w:name w:val="ListLabel 105"/>
    <w:qFormat/>
    <w:uiPriority w:val="0"/>
    <w:rPr>
      <w:rFonts w:cs="Wingdings"/>
    </w:rPr>
  </w:style>
  <w:style w:type="character" w:customStyle="1" w:styleId="154">
    <w:name w:val="ListLabel 106"/>
    <w:qFormat/>
    <w:uiPriority w:val="0"/>
    <w:rPr>
      <w:rFonts w:cs="Symbol"/>
    </w:rPr>
  </w:style>
  <w:style w:type="character" w:customStyle="1" w:styleId="155">
    <w:name w:val="ListLabel 107"/>
    <w:qFormat/>
    <w:uiPriority w:val="0"/>
    <w:rPr>
      <w:rFonts w:cs="Courier New"/>
    </w:rPr>
  </w:style>
  <w:style w:type="character" w:customStyle="1" w:styleId="156">
    <w:name w:val="ListLabel 108"/>
    <w:qFormat/>
    <w:uiPriority w:val="0"/>
    <w:rPr>
      <w:rFonts w:cs="Wingdings"/>
    </w:rPr>
  </w:style>
  <w:style w:type="character" w:customStyle="1" w:styleId="157">
    <w:name w:val="ListLabel 109"/>
    <w:qFormat/>
    <w:uiPriority w:val="0"/>
    <w:rPr>
      <w:rFonts w:cs="Symbol"/>
    </w:rPr>
  </w:style>
  <w:style w:type="character" w:customStyle="1" w:styleId="158">
    <w:name w:val="ListLabel 110"/>
    <w:qFormat/>
    <w:uiPriority w:val="0"/>
    <w:rPr>
      <w:rFonts w:cs="Courier New"/>
    </w:rPr>
  </w:style>
  <w:style w:type="character" w:customStyle="1" w:styleId="159">
    <w:name w:val="ListLabel 111"/>
    <w:qFormat/>
    <w:uiPriority w:val="0"/>
    <w:rPr>
      <w:rFonts w:cs="Wingdings"/>
    </w:rPr>
  </w:style>
  <w:style w:type="character" w:customStyle="1" w:styleId="160">
    <w:name w:val="ListLabel 112"/>
    <w:qFormat/>
    <w:uiPriority w:val="0"/>
    <w:rPr>
      <w:rFonts w:cs="Symbol"/>
    </w:rPr>
  </w:style>
  <w:style w:type="character" w:customStyle="1" w:styleId="161">
    <w:name w:val="ListLabel 113"/>
    <w:qFormat/>
    <w:uiPriority w:val="0"/>
    <w:rPr>
      <w:rFonts w:cs="Courier New"/>
    </w:rPr>
  </w:style>
  <w:style w:type="character" w:customStyle="1" w:styleId="162">
    <w:name w:val="ListLabel 114"/>
    <w:qFormat/>
    <w:uiPriority w:val="0"/>
    <w:rPr>
      <w:rFonts w:cs="Wingdings"/>
    </w:rPr>
  </w:style>
  <w:style w:type="character" w:customStyle="1" w:styleId="163">
    <w:name w:val="ListLabel 115"/>
    <w:qFormat/>
    <w:uiPriority w:val="0"/>
    <w:rPr>
      <w:rFonts w:cs="Symbol"/>
    </w:rPr>
  </w:style>
  <w:style w:type="character" w:customStyle="1" w:styleId="164">
    <w:name w:val="ListLabel 116"/>
    <w:qFormat/>
    <w:uiPriority w:val="0"/>
    <w:rPr>
      <w:rFonts w:cs="Courier New"/>
    </w:rPr>
  </w:style>
  <w:style w:type="character" w:customStyle="1" w:styleId="165">
    <w:name w:val="ListLabel 117"/>
    <w:qFormat/>
    <w:uiPriority w:val="0"/>
    <w:rPr>
      <w:rFonts w:cs="Wingdings"/>
    </w:rPr>
  </w:style>
  <w:style w:type="character" w:customStyle="1" w:styleId="166">
    <w:name w:val="ListLabel 118"/>
    <w:qFormat/>
    <w:uiPriority w:val="0"/>
    <w:rPr>
      <w:rFonts w:ascii="Calibri Light" w:hAnsi="Calibri Light" w:cs="Symbol"/>
    </w:rPr>
  </w:style>
  <w:style w:type="character" w:customStyle="1" w:styleId="167">
    <w:name w:val="ListLabel 119"/>
    <w:qFormat/>
    <w:uiPriority w:val="0"/>
    <w:rPr>
      <w:rFonts w:ascii="Calibri Light" w:hAnsi="Calibri Light" w:cs="Courier New"/>
    </w:rPr>
  </w:style>
  <w:style w:type="character" w:customStyle="1" w:styleId="168">
    <w:name w:val="ListLabel 120"/>
    <w:qFormat/>
    <w:uiPriority w:val="0"/>
    <w:rPr>
      <w:rFonts w:cs="Wingdings"/>
    </w:rPr>
  </w:style>
  <w:style w:type="character" w:customStyle="1" w:styleId="169">
    <w:name w:val="ListLabel 121"/>
    <w:qFormat/>
    <w:uiPriority w:val="0"/>
    <w:rPr>
      <w:rFonts w:cs="Symbol"/>
    </w:rPr>
  </w:style>
  <w:style w:type="character" w:customStyle="1" w:styleId="170">
    <w:name w:val="ListLabel 122"/>
    <w:qFormat/>
    <w:uiPriority w:val="0"/>
    <w:rPr>
      <w:rFonts w:cs="Courier New"/>
    </w:rPr>
  </w:style>
  <w:style w:type="character" w:customStyle="1" w:styleId="171">
    <w:name w:val="ListLabel 123"/>
    <w:qFormat/>
    <w:uiPriority w:val="0"/>
    <w:rPr>
      <w:rFonts w:cs="Wingdings"/>
    </w:rPr>
  </w:style>
  <w:style w:type="character" w:customStyle="1" w:styleId="172">
    <w:name w:val="ListLabel 124"/>
    <w:qFormat/>
    <w:uiPriority w:val="0"/>
    <w:rPr>
      <w:rFonts w:cs="Symbol"/>
    </w:rPr>
  </w:style>
  <w:style w:type="character" w:customStyle="1" w:styleId="173">
    <w:name w:val="ListLabel 125"/>
    <w:qFormat/>
    <w:uiPriority w:val="0"/>
    <w:rPr>
      <w:rFonts w:cs="Courier New"/>
    </w:rPr>
  </w:style>
  <w:style w:type="character" w:customStyle="1" w:styleId="174">
    <w:name w:val="ListLabel 126"/>
    <w:qFormat/>
    <w:uiPriority w:val="0"/>
    <w:rPr>
      <w:rFonts w:cs="Wingdings"/>
    </w:rPr>
  </w:style>
  <w:style w:type="character" w:customStyle="1" w:styleId="175">
    <w:name w:val="ListLabel 127"/>
    <w:qFormat/>
    <w:uiPriority w:val="0"/>
    <w:rPr>
      <w:rFonts w:ascii="Calibri Light" w:hAnsi="Calibri Light" w:cs="Symbol"/>
    </w:rPr>
  </w:style>
  <w:style w:type="character" w:customStyle="1" w:styleId="176">
    <w:name w:val="ListLabel 128"/>
    <w:qFormat/>
    <w:uiPriority w:val="0"/>
    <w:rPr>
      <w:rFonts w:cs="Courier New"/>
    </w:rPr>
  </w:style>
  <w:style w:type="character" w:customStyle="1" w:styleId="177">
    <w:name w:val="ListLabel 129"/>
    <w:qFormat/>
    <w:uiPriority w:val="0"/>
    <w:rPr>
      <w:rFonts w:cs="Wingdings"/>
    </w:rPr>
  </w:style>
  <w:style w:type="character" w:customStyle="1" w:styleId="178">
    <w:name w:val="ListLabel 130"/>
    <w:qFormat/>
    <w:uiPriority w:val="0"/>
    <w:rPr>
      <w:rFonts w:cs="Symbol"/>
    </w:rPr>
  </w:style>
  <w:style w:type="character" w:customStyle="1" w:styleId="179">
    <w:name w:val="ListLabel 131"/>
    <w:qFormat/>
    <w:uiPriority w:val="0"/>
    <w:rPr>
      <w:rFonts w:cs="Courier New"/>
    </w:rPr>
  </w:style>
  <w:style w:type="character" w:customStyle="1" w:styleId="180">
    <w:name w:val="ListLabel 132"/>
    <w:qFormat/>
    <w:uiPriority w:val="0"/>
    <w:rPr>
      <w:rFonts w:cs="Wingdings"/>
    </w:rPr>
  </w:style>
  <w:style w:type="character" w:customStyle="1" w:styleId="181">
    <w:name w:val="ListLabel 133"/>
    <w:qFormat/>
    <w:uiPriority w:val="0"/>
    <w:rPr>
      <w:rFonts w:cs="Symbol"/>
    </w:rPr>
  </w:style>
  <w:style w:type="character" w:customStyle="1" w:styleId="182">
    <w:name w:val="ListLabel 134"/>
    <w:qFormat/>
    <w:uiPriority w:val="0"/>
    <w:rPr>
      <w:rFonts w:cs="Courier New"/>
    </w:rPr>
  </w:style>
  <w:style w:type="character" w:customStyle="1" w:styleId="183">
    <w:name w:val="ListLabel 135"/>
    <w:qFormat/>
    <w:uiPriority w:val="0"/>
    <w:rPr>
      <w:rFonts w:cs="Wingdings"/>
    </w:rPr>
  </w:style>
  <w:style w:type="character" w:customStyle="1" w:styleId="184">
    <w:name w:val="ListLabel 136"/>
    <w:qFormat/>
    <w:uiPriority w:val="0"/>
    <w:rPr>
      <w:rFonts w:ascii="Calibri Light" w:hAnsi="Calibri Light" w:cs="Symbol"/>
      <w:b/>
    </w:rPr>
  </w:style>
  <w:style w:type="character" w:customStyle="1" w:styleId="185">
    <w:name w:val="ListLabel 137"/>
    <w:qFormat/>
    <w:uiPriority w:val="0"/>
    <w:rPr>
      <w:rFonts w:ascii="Calibri Light" w:hAnsi="Calibri Light" w:cs="Courier New"/>
    </w:rPr>
  </w:style>
  <w:style w:type="character" w:customStyle="1" w:styleId="186">
    <w:name w:val="ListLabel 138"/>
    <w:qFormat/>
    <w:uiPriority w:val="0"/>
    <w:rPr>
      <w:rFonts w:ascii="Calibri Light" w:hAnsi="Calibri Light" w:cs="Wingdings"/>
    </w:rPr>
  </w:style>
  <w:style w:type="character" w:customStyle="1" w:styleId="187">
    <w:name w:val="ListLabel 139"/>
    <w:qFormat/>
    <w:uiPriority w:val="0"/>
    <w:rPr>
      <w:rFonts w:ascii="Calibri Light" w:hAnsi="Calibri Light" w:cs="Symbol"/>
    </w:rPr>
  </w:style>
  <w:style w:type="character" w:customStyle="1" w:styleId="188">
    <w:name w:val="ListLabel 140"/>
    <w:qFormat/>
    <w:uiPriority w:val="0"/>
    <w:rPr>
      <w:rFonts w:cs="Courier New"/>
    </w:rPr>
  </w:style>
  <w:style w:type="character" w:customStyle="1" w:styleId="189">
    <w:name w:val="ListLabel 141"/>
    <w:qFormat/>
    <w:uiPriority w:val="0"/>
    <w:rPr>
      <w:rFonts w:cs="Wingdings"/>
    </w:rPr>
  </w:style>
  <w:style w:type="character" w:customStyle="1" w:styleId="190">
    <w:name w:val="ListLabel 142"/>
    <w:qFormat/>
    <w:uiPriority w:val="0"/>
    <w:rPr>
      <w:rFonts w:cs="Symbol"/>
    </w:rPr>
  </w:style>
  <w:style w:type="character" w:customStyle="1" w:styleId="191">
    <w:name w:val="ListLabel 143"/>
    <w:qFormat/>
    <w:uiPriority w:val="0"/>
    <w:rPr>
      <w:rFonts w:cs="Courier New"/>
    </w:rPr>
  </w:style>
  <w:style w:type="character" w:customStyle="1" w:styleId="192">
    <w:name w:val="ListLabel 144"/>
    <w:qFormat/>
    <w:uiPriority w:val="0"/>
    <w:rPr>
      <w:rFonts w:cs="Wingdings"/>
    </w:rPr>
  </w:style>
  <w:style w:type="character" w:customStyle="1" w:styleId="193">
    <w:name w:val="ListLabel 145"/>
    <w:qFormat/>
    <w:uiPriority w:val="0"/>
    <w:rPr>
      <w:rFonts w:ascii="Calibri Light" w:hAnsi="Calibri Light" w:cs="Symbol"/>
    </w:rPr>
  </w:style>
  <w:style w:type="character" w:customStyle="1" w:styleId="194">
    <w:name w:val="ListLabel 146"/>
    <w:qFormat/>
    <w:uiPriority w:val="0"/>
    <w:rPr>
      <w:rFonts w:cs="Courier New"/>
    </w:rPr>
  </w:style>
  <w:style w:type="character" w:customStyle="1" w:styleId="195">
    <w:name w:val="ListLabel 147"/>
    <w:qFormat/>
    <w:uiPriority w:val="0"/>
    <w:rPr>
      <w:rFonts w:cs="Wingdings"/>
    </w:rPr>
  </w:style>
  <w:style w:type="character" w:customStyle="1" w:styleId="196">
    <w:name w:val="ListLabel 148"/>
    <w:qFormat/>
    <w:uiPriority w:val="0"/>
    <w:rPr>
      <w:rFonts w:cs="Symbol"/>
    </w:rPr>
  </w:style>
  <w:style w:type="character" w:customStyle="1" w:styleId="197">
    <w:name w:val="ListLabel 149"/>
    <w:qFormat/>
    <w:uiPriority w:val="0"/>
    <w:rPr>
      <w:rFonts w:cs="Courier New"/>
    </w:rPr>
  </w:style>
  <w:style w:type="character" w:customStyle="1" w:styleId="198">
    <w:name w:val="ListLabel 150"/>
    <w:qFormat/>
    <w:uiPriority w:val="0"/>
    <w:rPr>
      <w:rFonts w:cs="Wingdings"/>
    </w:rPr>
  </w:style>
  <w:style w:type="character" w:customStyle="1" w:styleId="199">
    <w:name w:val="ListLabel 151"/>
    <w:qFormat/>
    <w:uiPriority w:val="0"/>
    <w:rPr>
      <w:rFonts w:cs="Symbol"/>
    </w:rPr>
  </w:style>
  <w:style w:type="character" w:customStyle="1" w:styleId="200">
    <w:name w:val="ListLabel 152"/>
    <w:qFormat/>
    <w:uiPriority w:val="0"/>
    <w:rPr>
      <w:rFonts w:cs="Courier New"/>
    </w:rPr>
  </w:style>
  <w:style w:type="character" w:customStyle="1" w:styleId="201">
    <w:name w:val="ListLabel 153"/>
    <w:qFormat/>
    <w:uiPriority w:val="0"/>
    <w:rPr>
      <w:rFonts w:cs="Wingdings"/>
    </w:rPr>
  </w:style>
  <w:style w:type="character" w:customStyle="1" w:styleId="202">
    <w:name w:val="ListLabel 154"/>
    <w:qFormat/>
    <w:uiPriority w:val="0"/>
    <w:rPr>
      <w:rFonts w:ascii="Calibri Light" w:hAnsi="Calibri Light" w:cs="Symbol"/>
    </w:rPr>
  </w:style>
  <w:style w:type="character" w:customStyle="1" w:styleId="203">
    <w:name w:val="ListLabel 155"/>
    <w:qFormat/>
    <w:uiPriority w:val="0"/>
    <w:rPr>
      <w:rFonts w:cs="Courier New"/>
    </w:rPr>
  </w:style>
  <w:style w:type="character" w:customStyle="1" w:styleId="204">
    <w:name w:val="ListLabel 156"/>
    <w:qFormat/>
    <w:uiPriority w:val="0"/>
    <w:rPr>
      <w:rFonts w:cs="Wingdings"/>
    </w:rPr>
  </w:style>
  <w:style w:type="character" w:customStyle="1" w:styleId="205">
    <w:name w:val="ListLabel 157"/>
    <w:qFormat/>
    <w:uiPriority w:val="0"/>
    <w:rPr>
      <w:rFonts w:cs="Symbol"/>
    </w:rPr>
  </w:style>
  <w:style w:type="character" w:customStyle="1" w:styleId="206">
    <w:name w:val="ListLabel 158"/>
    <w:qFormat/>
    <w:uiPriority w:val="0"/>
    <w:rPr>
      <w:rFonts w:cs="Courier New"/>
    </w:rPr>
  </w:style>
  <w:style w:type="character" w:customStyle="1" w:styleId="207">
    <w:name w:val="ListLabel 159"/>
    <w:qFormat/>
    <w:uiPriority w:val="0"/>
    <w:rPr>
      <w:rFonts w:cs="Wingdings"/>
    </w:rPr>
  </w:style>
  <w:style w:type="character" w:customStyle="1" w:styleId="208">
    <w:name w:val="ListLabel 160"/>
    <w:qFormat/>
    <w:uiPriority w:val="0"/>
    <w:rPr>
      <w:rFonts w:cs="Symbol"/>
    </w:rPr>
  </w:style>
  <w:style w:type="character" w:customStyle="1" w:styleId="209">
    <w:name w:val="ListLabel 161"/>
    <w:qFormat/>
    <w:uiPriority w:val="0"/>
    <w:rPr>
      <w:rFonts w:cs="Courier New"/>
    </w:rPr>
  </w:style>
  <w:style w:type="character" w:customStyle="1" w:styleId="210">
    <w:name w:val="ListLabel 162"/>
    <w:qFormat/>
    <w:uiPriority w:val="0"/>
    <w:rPr>
      <w:rFonts w:cs="Wingdings"/>
    </w:rPr>
  </w:style>
  <w:style w:type="character" w:customStyle="1" w:styleId="211">
    <w:name w:val="ListLabel 163"/>
    <w:qFormat/>
    <w:uiPriority w:val="0"/>
    <w:rPr>
      <w:rFonts w:cs="Wingdings"/>
    </w:rPr>
  </w:style>
  <w:style w:type="character" w:customStyle="1" w:styleId="212">
    <w:name w:val="ListLabel 164"/>
    <w:qFormat/>
    <w:uiPriority w:val="0"/>
    <w:rPr>
      <w:rFonts w:cs="Courier New"/>
    </w:rPr>
  </w:style>
  <w:style w:type="character" w:customStyle="1" w:styleId="213">
    <w:name w:val="ListLabel 165"/>
    <w:qFormat/>
    <w:uiPriority w:val="0"/>
    <w:rPr>
      <w:rFonts w:cs="Wingdings"/>
    </w:rPr>
  </w:style>
  <w:style w:type="character" w:customStyle="1" w:styleId="214">
    <w:name w:val="ListLabel 166"/>
    <w:qFormat/>
    <w:uiPriority w:val="0"/>
    <w:rPr>
      <w:rFonts w:cs="Symbol"/>
    </w:rPr>
  </w:style>
  <w:style w:type="character" w:customStyle="1" w:styleId="215">
    <w:name w:val="ListLabel 167"/>
    <w:qFormat/>
    <w:uiPriority w:val="0"/>
    <w:rPr>
      <w:rFonts w:cs="Courier New"/>
    </w:rPr>
  </w:style>
  <w:style w:type="character" w:customStyle="1" w:styleId="216">
    <w:name w:val="ListLabel 168"/>
    <w:qFormat/>
    <w:uiPriority w:val="0"/>
    <w:rPr>
      <w:rFonts w:cs="Wingdings"/>
    </w:rPr>
  </w:style>
  <w:style w:type="character" w:customStyle="1" w:styleId="217">
    <w:name w:val="ListLabel 169"/>
    <w:qFormat/>
    <w:uiPriority w:val="0"/>
    <w:rPr>
      <w:rFonts w:cs="Symbol"/>
    </w:rPr>
  </w:style>
  <w:style w:type="character" w:customStyle="1" w:styleId="218">
    <w:name w:val="ListLabel 170"/>
    <w:qFormat/>
    <w:uiPriority w:val="0"/>
    <w:rPr>
      <w:rFonts w:cs="Courier New"/>
    </w:rPr>
  </w:style>
  <w:style w:type="character" w:customStyle="1" w:styleId="219">
    <w:name w:val="ListLabel 171"/>
    <w:qFormat/>
    <w:uiPriority w:val="0"/>
    <w:rPr>
      <w:rFonts w:cs="Wingdings"/>
    </w:rPr>
  </w:style>
  <w:style w:type="character" w:customStyle="1" w:styleId="220">
    <w:name w:val="ListLabel 172"/>
    <w:qFormat/>
    <w:uiPriority w:val="0"/>
    <w:rPr>
      <w:rFonts w:cs="Wingdings"/>
    </w:rPr>
  </w:style>
  <w:style w:type="character" w:customStyle="1" w:styleId="221">
    <w:name w:val="ListLabel 173"/>
    <w:qFormat/>
    <w:uiPriority w:val="0"/>
    <w:rPr>
      <w:rFonts w:cs="Courier New"/>
    </w:rPr>
  </w:style>
  <w:style w:type="character" w:customStyle="1" w:styleId="222">
    <w:name w:val="ListLabel 174"/>
    <w:qFormat/>
    <w:uiPriority w:val="0"/>
    <w:rPr>
      <w:rFonts w:cs="Wingdings"/>
    </w:rPr>
  </w:style>
  <w:style w:type="character" w:customStyle="1" w:styleId="223">
    <w:name w:val="ListLabel 175"/>
    <w:qFormat/>
    <w:uiPriority w:val="0"/>
    <w:rPr>
      <w:rFonts w:cs="Symbol"/>
    </w:rPr>
  </w:style>
  <w:style w:type="character" w:customStyle="1" w:styleId="224">
    <w:name w:val="ListLabel 176"/>
    <w:qFormat/>
    <w:uiPriority w:val="0"/>
    <w:rPr>
      <w:rFonts w:cs="Courier New"/>
    </w:rPr>
  </w:style>
  <w:style w:type="character" w:customStyle="1" w:styleId="225">
    <w:name w:val="ListLabel 177"/>
    <w:qFormat/>
    <w:uiPriority w:val="0"/>
    <w:rPr>
      <w:rFonts w:cs="Wingdings"/>
    </w:rPr>
  </w:style>
  <w:style w:type="character" w:customStyle="1" w:styleId="226">
    <w:name w:val="ListLabel 178"/>
    <w:qFormat/>
    <w:uiPriority w:val="0"/>
    <w:rPr>
      <w:rFonts w:cs="Symbol"/>
    </w:rPr>
  </w:style>
  <w:style w:type="character" w:customStyle="1" w:styleId="227">
    <w:name w:val="ListLabel 179"/>
    <w:qFormat/>
    <w:uiPriority w:val="0"/>
    <w:rPr>
      <w:rFonts w:cs="Courier New"/>
    </w:rPr>
  </w:style>
  <w:style w:type="character" w:customStyle="1" w:styleId="228">
    <w:name w:val="ListLabel 180"/>
    <w:qFormat/>
    <w:uiPriority w:val="0"/>
    <w:rPr>
      <w:rFonts w:cs="Wingdings"/>
    </w:rPr>
  </w:style>
  <w:style w:type="character" w:customStyle="1" w:styleId="229">
    <w:name w:val="ListLabel 181"/>
    <w:qFormat/>
    <w:uiPriority w:val="0"/>
    <w:rPr>
      <w:rFonts w:cs="Wingdings"/>
    </w:rPr>
  </w:style>
  <w:style w:type="character" w:customStyle="1" w:styleId="230">
    <w:name w:val="ListLabel 182"/>
    <w:qFormat/>
    <w:uiPriority w:val="0"/>
    <w:rPr>
      <w:rFonts w:cs="Courier New"/>
    </w:rPr>
  </w:style>
  <w:style w:type="character" w:customStyle="1" w:styleId="231">
    <w:name w:val="ListLabel 183"/>
    <w:qFormat/>
    <w:uiPriority w:val="0"/>
    <w:rPr>
      <w:rFonts w:cs="Wingdings"/>
    </w:rPr>
  </w:style>
  <w:style w:type="character" w:customStyle="1" w:styleId="232">
    <w:name w:val="ListLabel 184"/>
    <w:qFormat/>
    <w:uiPriority w:val="0"/>
    <w:rPr>
      <w:rFonts w:cs="Symbol"/>
    </w:rPr>
  </w:style>
  <w:style w:type="character" w:customStyle="1" w:styleId="233">
    <w:name w:val="ListLabel 185"/>
    <w:qFormat/>
    <w:uiPriority w:val="0"/>
    <w:rPr>
      <w:rFonts w:cs="Courier New"/>
    </w:rPr>
  </w:style>
  <w:style w:type="character" w:customStyle="1" w:styleId="234">
    <w:name w:val="ListLabel 186"/>
    <w:qFormat/>
    <w:uiPriority w:val="0"/>
    <w:rPr>
      <w:rFonts w:cs="Wingdings"/>
    </w:rPr>
  </w:style>
  <w:style w:type="character" w:customStyle="1" w:styleId="235">
    <w:name w:val="ListLabel 187"/>
    <w:qFormat/>
    <w:uiPriority w:val="0"/>
    <w:rPr>
      <w:rFonts w:cs="Symbol"/>
    </w:rPr>
  </w:style>
  <w:style w:type="character" w:customStyle="1" w:styleId="236">
    <w:name w:val="ListLabel 188"/>
    <w:qFormat/>
    <w:uiPriority w:val="0"/>
    <w:rPr>
      <w:rFonts w:cs="Courier New"/>
    </w:rPr>
  </w:style>
  <w:style w:type="character" w:customStyle="1" w:styleId="237">
    <w:name w:val="ListLabel 189"/>
    <w:qFormat/>
    <w:uiPriority w:val="0"/>
    <w:rPr>
      <w:rFonts w:cs="Wingdings"/>
    </w:rPr>
  </w:style>
  <w:style w:type="character" w:customStyle="1" w:styleId="238">
    <w:name w:val="ListLabel 190"/>
    <w:qFormat/>
    <w:uiPriority w:val="0"/>
    <w:rPr>
      <w:rFonts w:cs="Wingdings"/>
    </w:rPr>
  </w:style>
  <w:style w:type="character" w:customStyle="1" w:styleId="239">
    <w:name w:val="ListLabel 191"/>
    <w:qFormat/>
    <w:uiPriority w:val="0"/>
    <w:rPr>
      <w:rFonts w:cs="Courier New"/>
    </w:rPr>
  </w:style>
  <w:style w:type="character" w:customStyle="1" w:styleId="240">
    <w:name w:val="ListLabel 192"/>
    <w:qFormat/>
    <w:uiPriority w:val="0"/>
    <w:rPr>
      <w:rFonts w:cs="Wingdings"/>
    </w:rPr>
  </w:style>
  <w:style w:type="character" w:customStyle="1" w:styleId="241">
    <w:name w:val="ListLabel 193"/>
    <w:qFormat/>
    <w:uiPriority w:val="0"/>
    <w:rPr>
      <w:rFonts w:cs="Symbol"/>
    </w:rPr>
  </w:style>
  <w:style w:type="character" w:customStyle="1" w:styleId="242">
    <w:name w:val="ListLabel 194"/>
    <w:qFormat/>
    <w:uiPriority w:val="0"/>
    <w:rPr>
      <w:rFonts w:cs="Courier New"/>
    </w:rPr>
  </w:style>
  <w:style w:type="character" w:customStyle="1" w:styleId="243">
    <w:name w:val="ListLabel 195"/>
    <w:qFormat/>
    <w:uiPriority w:val="0"/>
    <w:rPr>
      <w:rFonts w:cs="Wingdings"/>
    </w:rPr>
  </w:style>
  <w:style w:type="character" w:customStyle="1" w:styleId="244">
    <w:name w:val="ListLabel 196"/>
    <w:qFormat/>
    <w:uiPriority w:val="0"/>
    <w:rPr>
      <w:rFonts w:cs="Symbol"/>
    </w:rPr>
  </w:style>
  <w:style w:type="character" w:customStyle="1" w:styleId="245">
    <w:name w:val="ListLabel 197"/>
    <w:qFormat/>
    <w:uiPriority w:val="0"/>
    <w:rPr>
      <w:rFonts w:cs="Courier New"/>
    </w:rPr>
  </w:style>
  <w:style w:type="character" w:customStyle="1" w:styleId="246">
    <w:name w:val="ListLabel 198"/>
    <w:qFormat/>
    <w:uiPriority w:val="0"/>
    <w:rPr>
      <w:rFonts w:cs="Wingdings"/>
    </w:rPr>
  </w:style>
  <w:style w:type="character" w:customStyle="1" w:styleId="247">
    <w:name w:val="ListLabel 199"/>
    <w:qFormat/>
    <w:uiPriority w:val="0"/>
    <w:rPr>
      <w:rFonts w:cs="Symbol"/>
    </w:rPr>
  </w:style>
  <w:style w:type="character" w:customStyle="1" w:styleId="248">
    <w:name w:val="ListLabel 200"/>
    <w:qFormat/>
    <w:uiPriority w:val="0"/>
    <w:rPr>
      <w:rFonts w:cs="Courier New"/>
    </w:rPr>
  </w:style>
  <w:style w:type="character" w:customStyle="1" w:styleId="249">
    <w:name w:val="ListLabel 201"/>
    <w:qFormat/>
    <w:uiPriority w:val="0"/>
    <w:rPr>
      <w:rFonts w:cs="Wingdings"/>
    </w:rPr>
  </w:style>
  <w:style w:type="character" w:customStyle="1" w:styleId="250">
    <w:name w:val="ListLabel 202"/>
    <w:qFormat/>
    <w:uiPriority w:val="0"/>
    <w:rPr>
      <w:rFonts w:cs="Symbol"/>
    </w:rPr>
  </w:style>
  <w:style w:type="character" w:customStyle="1" w:styleId="251">
    <w:name w:val="ListLabel 203"/>
    <w:qFormat/>
    <w:uiPriority w:val="0"/>
    <w:rPr>
      <w:rFonts w:cs="Courier New"/>
    </w:rPr>
  </w:style>
  <w:style w:type="character" w:customStyle="1" w:styleId="252">
    <w:name w:val="ListLabel 204"/>
    <w:qFormat/>
    <w:uiPriority w:val="0"/>
    <w:rPr>
      <w:rFonts w:cs="Wingdings"/>
    </w:rPr>
  </w:style>
  <w:style w:type="character" w:customStyle="1" w:styleId="253">
    <w:name w:val="ListLabel 205"/>
    <w:qFormat/>
    <w:uiPriority w:val="0"/>
    <w:rPr>
      <w:rFonts w:cs="Symbol"/>
    </w:rPr>
  </w:style>
  <w:style w:type="character" w:customStyle="1" w:styleId="254">
    <w:name w:val="ListLabel 206"/>
    <w:qFormat/>
    <w:uiPriority w:val="0"/>
    <w:rPr>
      <w:rFonts w:cs="Courier New"/>
    </w:rPr>
  </w:style>
  <w:style w:type="character" w:customStyle="1" w:styleId="255">
    <w:name w:val="ListLabel 207"/>
    <w:qFormat/>
    <w:uiPriority w:val="0"/>
    <w:rPr>
      <w:rFonts w:cs="Wingdings"/>
    </w:rPr>
  </w:style>
  <w:style w:type="character" w:customStyle="1" w:styleId="256">
    <w:name w:val="ListLabel 208"/>
    <w:qFormat/>
    <w:uiPriority w:val="0"/>
    <w:rPr>
      <w:rFonts w:cs="Symbol"/>
    </w:rPr>
  </w:style>
  <w:style w:type="character" w:customStyle="1" w:styleId="257">
    <w:name w:val="ListLabel 209"/>
    <w:qFormat/>
    <w:uiPriority w:val="0"/>
    <w:rPr>
      <w:rFonts w:cs="Courier New"/>
    </w:rPr>
  </w:style>
  <w:style w:type="character" w:customStyle="1" w:styleId="258">
    <w:name w:val="ListLabel 210"/>
    <w:qFormat/>
    <w:uiPriority w:val="0"/>
    <w:rPr>
      <w:rFonts w:cs="Wingdings"/>
    </w:rPr>
  </w:style>
  <w:style w:type="character" w:customStyle="1" w:styleId="259">
    <w:name w:val="ListLabel 211"/>
    <w:qFormat/>
    <w:uiPriority w:val="0"/>
    <w:rPr>
      <w:rFonts w:cs="Symbol"/>
    </w:rPr>
  </w:style>
  <w:style w:type="character" w:customStyle="1" w:styleId="260">
    <w:name w:val="ListLabel 212"/>
    <w:qFormat/>
    <w:uiPriority w:val="0"/>
    <w:rPr>
      <w:rFonts w:cs="Courier New"/>
    </w:rPr>
  </w:style>
  <w:style w:type="character" w:customStyle="1" w:styleId="261">
    <w:name w:val="ListLabel 213"/>
    <w:qFormat/>
    <w:uiPriority w:val="0"/>
    <w:rPr>
      <w:rFonts w:cs="Wingdings"/>
    </w:rPr>
  </w:style>
  <w:style w:type="character" w:customStyle="1" w:styleId="262">
    <w:name w:val="ListLabel 214"/>
    <w:qFormat/>
    <w:uiPriority w:val="0"/>
    <w:rPr>
      <w:rFonts w:cs="Symbol"/>
    </w:rPr>
  </w:style>
  <w:style w:type="character" w:customStyle="1" w:styleId="263">
    <w:name w:val="ListLabel 215"/>
    <w:qFormat/>
    <w:uiPriority w:val="0"/>
    <w:rPr>
      <w:rFonts w:cs="Courier New"/>
    </w:rPr>
  </w:style>
  <w:style w:type="character" w:customStyle="1" w:styleId="264">
    <w:name w:val="ListLabel 216"/>
    <w:qFormat/>
    <w:uiPriority w:val="0"/>
    <w:rPr>
      <w:rFonts w:cs="Wingdings"/>
    </w:rPr>
  </w:style>
  <w:style w:type="character" w:customStyle="1" w:styleId="265">
    <w:name w:val="ListLabel 217"/>
    <w:qFormat/>
    <w:uiPriority w:val="0"/>
    <w:rPr>
      <w:rFonts w:cs="Symbol"/>
    </w:rPr>
  </w:style>
  <w:style w:type="character" w:customStyle="1" w:styleId="266">
    <w:name w:val="ListLabel 218"/>
    <w:qFormat/>
    <w:uiPriority w:val="0"/>
    <w:rPr>
      <w:rFonts w:cs="Courier New"/>
    </w:rPr>
  </w:style>
  <w:style w:type="character" w:customStyle="1" w:styleId="267">
    <w:name w:val="ListLabel 219"/>
    <w:qFormat/>
    <w:uiPriority w:val="0"/>
    <w:rPr>
      <w:rFonts w:cs="Wingdings"/>
    </w:rPr>
  </w:style>
  <w:style w:type="character" w:customStyle="1" w:styleId="268">
    <w:name w:val="ListLabel 220"/>
    <w:qFormat/>
    <w:uiPriority w:val="0"/>
    <w:rPr>
      <w:rFonts w:cs="Symbol"/>
    </w:rPr>
  </w:style>
  <w:style w:type="character" w:customStyle="1" w:styleId="269">
    <w:name w:val="ListLabel 221"/>
    <w:qFormat/>
    <w:uiPriority w:val="0"/>
    <w:rPr>
      <w:rFonts w:cs="Courier New"/>
    </w:rPr>
  </w:style>
  <w:style w:type="character" w:customStyle="1" w:styleId="270">
    <w:name w:val="ListLabel 222"/>
    <w:qFormat/>
    <w:uiPriority w:val="0"/>
    <w:rPr>
      <w:rFonts w:cs="Wingdings"/>
    </w:rPr>
  </w:style>
  <w:style w:type="character" w:customStyle="1" w:styleId="271">
    <w:name w:val="ListLabel 223"/>
    <w:qFormat/>
    <w:uiPriority w:val="0"/>
    <w:rPr>
      <w:rFonts w:cs="Symbol"/>
    </w:rPr>
  </w:style>
  <w:style w:type="character" w:customStyle="1" w:styleId="272">
    <w:name w:val="ListLabel 224"/>
    <w:qFormat/>
    <w:uiPriority w:val="0"/>
    <w:rPr>
      <w:rFonts w:cs="Courier New"/>
    </w:rPr>
  </w:style>
  <w:style w:type="character" w:customStyle="1" w:styleId="273">
    <w:name w:val="ListLabel 225"/>
    <w:qFormat/>
    <w:uiPriority w:val="0"/>
    <w:rPr>
      <w:rFonts w:cs="Wingdings"/>
    </w:rPr>
  </w:style>
  <w:style w:type="character" w:customStyle="1" w:styleId="274">
    <w:name w:val="ListLabel 226"/>
    <w:qFormat/>
    <w:uiPriority w:val="0"/>
    <w:rPr>
      <w:rFonts w:cs="Symbol"/>
    </w:rPr>
  </w:style>
  <w:style w:type="character" w:customStyle="1" w:styleId="275">
    <w:name w:val="ListLabel 227"/>
    <w:qFormat/>
    <w:uiPriority w:val="0"/>
    <w:rPr>
      <w:rFonts w:cs="Courier New"/>
    </w:rPr>
  </w:style>
  <w:style w:type="character" w:customStyle="1" w:styleId="276">
    <w:name w:val="ListLabel 228"/>
    <w:qFormat/>
    <w:uiPriority w:val="0"/>
    <w:rPr>
      <w:rFonts w:cs="Wingdings"/>
    </w:rPr>
  </w:style>
  <w:style w:type="character" w:customStyle="1" w:styleId="277">
    <w:name w:val="ListLabel 229"/>
    <w:qFormat/>
    <w:uiPriority w:val="0"/>
    <w:rPr>
      <w:rFonts w:cs="Symbol"/>
    </w:rPr>
  </w:style>
  <w:style w:type="character" w:customStyle="1" w:styleId="278">
    <w:name w:val="ListLabel 230"/>
    <w:qFormat/>
    <w:uiPriority w:val="0"/>
    <w:rPr>
      <w:rFonts w:cs="Courier New"/>
    </w:rPr>
  </w:style>
  <w:style w:type="character" w:customStyle="1" w:styleId="279">
    <w:name w:val="ListLabel 231"/>
    <w:qFormat/>
    <w:uiPriority w:val="0"/>
    <w:rPr>
      <w:rFonts w:cs="Wingdings"/>
    </w:rPr>
  </w:style>
  <w:style w:type="character" w:customStyle="1" w:styleId="280">
    <w:name w:val="ListLabel 232"/>
    <w:qFormat/>
    <w:uiPriority w:val="0"/>
    <w:rPr>
      <w:rFonts w:cs="Symbol"/>
    </w:rPr>
  </w:style>
  <w:style w:type="character" w:customStyle="1" w:styleId="281">
    <w:name w:val="ListLabel 233"/>
    <w:qFormat/>
    <w:uiPriority w:val="0"/>
    <w:rPr>
      <w:rFonts w:cs="Courier New"/>
    </w:rPr>
  </w:style>
  <w:style w:type="character" w:customStyle="1" w:styleId="282">
    <w:name w:val="ListLabel 234"/>
    <w:qFormat/>
    <w:uiPriority w:val="0"/>
    <w:rPr>
      <w:rFonts w:cs="Wingdings"/>
    </w:rPr>
  </w:style>
  <w:style w:type="character" w:customStyle="1" w:styleId="283">
    <w:name w:val="ListLabel 235"/>
    <w:qFormat/>
    <w:uiPriority w:val="0"/>
    <w:rPr>
      <w:rFonts w:cs="Symbol"/>
    </w:rPr>
  </w:style>
  <w:style w:type="character" w:customStyle="1" w:styleId="284">
    <w:name w:val="ListLabel 236"/>
    <w:qFormat/>
    <w:uiPriority w:val="0"/>
    <w:rPr>
      <w:rFonts w:cs="Courier New"/>
    </w:rPr>
  </w:style>
  <w:style w:type="character" w:customStyle="1" w:styleId="285">
    <w:name w:val="ListLabel 237"/>
    <w:qFormat/>
    <w:uiPriority w:val="0"/>
    <w:rPr>
      <w:rFonts w:cs="Wingdings"/>
    </w:rPr>
  </w:style>
  <w:style w:type="character" w:customStyle="1" w:styleId="286">
    <w:name w:val="ListLabel 238"/>
    <w:qFormat/>
    <w:uiPriority w:val="0"/>
    <w:rPr>
      <w:rFonts w:cs="Symbol"/>
    </w:rPr>
  </w:style>
  <w:style w:type="character" w:customStyle="1" w:styleId="287">
    <w:name w:val="ListLabel 239"/>
    <w:qFormat/>
    <w:uiPriority w:val="0"/>
    <w:rPr>
      <w:rFonts w:cs="Courier New"/>
    </w:rPr>
  </w:style>
  <w:style w:type="character" w:customStyle="1" w:styleId="288">
    <w:name w:val="ListLabel 240"/>
    <w:qFormat/>
    <w:uiPriority w:val="0"/>
    <w:rPr>
      <w:rFonts w:cs="Wingdings"/>
    </w:rPr>
  </w:style>
  <w:style w:type="character" w:customStyle="1" w:styleId="289">
    <w:name w:val="ListLabel 241"/>
    <w:qFormat/>
    <w:uiPriority w:val="0"/>
    <w:rPr>
      <w:rFonts w:cs="Symbol"/>
    </w:rPr>
  </w:style>
  <w:style w:type="character" w:customStyle="1" w:styleId="290">
    <w:name w:val="ListLabel 242"/>
    <w:qFormat/>
    <w:uiPriority w:val="0"/>
    <w:rPr>
      <w:rFonts w:cs="Courier New"/>
    </w:rPr>
  </w:style>
  <w:style w:type="character" w:customStyle="1" w:styleId="291">
    <w:name w:val="ListLabel 243"/>
    <w:qFormat/>
    <w:uiPriority w:val="0"/>
    <w:rPr>
      <w:rFonts w:cs="Wingdings"/>
    </w:rPr>
  </w:style>
  <w:style w:type="character" w:customStyle="1" w:styleId="292">
    <w:name w:val="ListLabel 244"/>
    <w:qFormat/>
    <w:uiPriority w:val="0"/>
    <w:rPr>
      <w:rFonts w:cs="Symbol"/>
    </w:rPr>
  </w:style>
  <w:style w:type="character" w:customStyle="1" w:styleId="293">
    <w:name w:val="ListLabel 245"/>
    <w:qFormat/>
    <w:uiPriority w:val="0"/>
    <w:rPr>
      <w:rFonts w:cs="Courier New"/>
    </w:rPr>
  </w:style>
  <w:style w:type="character" w:customStyle="1" w:styleId="294">
    <w:name w:val="ListLabel 246"/>
    <w:qFormat/>
    <w:uiPriority w:val="0"/>
    <w:rPr>
      <w:rFonts w:cs="Wingdings"/>
    </w:rPr>
  </w:style>
  <w:style w:type="character" w:customStyle="1" w:styleId="295">
    <w:name w:val="ListLabel 247"/>
    <w:qFormat/>
    <w:uiPriority w:val="0"/>
    <w:rPr>
      <w:rFonts w:cs="Symbol"/>
    </w:rPr>
  </w:style>
  <w:style w:type="character" w:customStyle="1" w:styleId="296">
    <w:name w:val="ListLabel 248"/>
    <w:qFormat/>
    <w:uiPriority w:val="0"/>
    <w:rPr>
      <w:rFonts w:cs="Courier New"/>
    </w:rPr>
  </w:style>
  <w:style w:type="character" w:customStyle="1" w:styleId="297">
    <w:name w:val="ListLabel 249"/>
    <w:qFormat/>
    <w:uiPriority w:val="0"/>
    <w:rPr>
      <w:rFonts w:cs="Wingdings"/>
    </w:rPr>
  </w:style>
  <w:style w:type="character" w:customStyle="1" w:styleId="298">
    <w:name w:val="ListLabel 250"/>
    <w:qFormat/>
    <w:uiPriority w:val="0"/>
    <w:rPr>
      <w:rFonts w:cs="Symbol"/>
    </w:rPr>
  </w:style>
  <w:style w:type="character" w:customStyle="1" w:styleId="299">
    <w:name w:val="ListLabel 251"/>
    <w:qFormat/>
    <w:uiPriority w:val="0"/>
    <w:rPr>
      <w:rFonts w:cs="Courier New"/>
    </w:rPr>
  </w:style>
  <w:style w:type="character" w:customStyle="1" w:styleId="300">
    <w:name w:val="ListLabel 252"/>
    <w:qFormat/>
    <w:uiPriority w:val="0"/>
    <w:rPr>
      <w:rFonts w:cs="Wingdings"/>
    </w:rPr>
  </w:style>
  <w:style w:type="character" w:customStyle="1" w:styleId="301">
    <w:name w:val="ListLabel 253"/>
    <w:qFormat/>
    <w:uiPriority w:val="0"/>
    <w:rPr>
      <w:rFonts w:cs="Symbol"/>
    </w:rPr>
  </w:style>
  <w:style w:type="character" w:customStyle="1" w:styleId="302">
    <w:name w:val="ListLabel 254"/>
    <w:qFormat/>
    <w:uiPriority w:val="0"/>
    <w:rPr>
      <w:rFonts w:cs="Courier New"/>
    </w:rPr>
  </w:style>
  <w:style w:type="character" w:customStyle="1" w:styleId="303">
    <w:name w:val="ListLabel 255"/>
    <w:qFormat/>
    <w:uiPriority w:val="0"/>
    <w:rPr>
      <w:rFonts w:cs="Wingdings"/>
    </w:rPr>
  </w:style>
  <w:style w:type="character" w:customStyle="1" w:styleId="304">
    <w:name w:val="ListLabel 256"/>
    <w:qFormat/>
    <w:uiPriority w:val="0"/>
    <w:rPr>
      <w:rFonts w:cs="Symbol"/>
    </w:rPr>
  </w:style>
  <w:style w:type="character" w:customStyle="1" w:styleId="305">
    <w:name w:val="ListLabel 257"/>
    <w:qFormat/>
    <w:uiPriority w:val="0"/>
    <w:rPr>
      <w:rFonts w:cs="Courier New"/>
    </w:rPr>
  </w:style>
  <w:style w:type="character" w:customStyle="1" w:styleId="306">
    <w:name w:val="ListLabel 258"/>
    <w:qFormat/>
    <w:uiPriority w:val="0"/>
    <w:rPr>
      <w:rFonts w:cs="Wingdings"/>
    </w:rPr>
  </w:style>
  <w:style w:type="character" w:customStyle="1" w:styleId="307">
    <w:name w:val="ListLabel 259"/>
    <w:qFormat/>
    <w:uiPriority w:val="0"/>
    <w:rPr>
      <w:rFonts w:cs="Symbol"/>
    </w:rPr>
  </w:style>
  <w:style w:type="character" w:customStyle="1" w:styleId="308">
    <w:name w:val="ListLabel 260"/>
    <w:qFormat/>
    <w:uiPriority w:val="0"/>
    <w:rPr>
      <w:rFonts w:cs="Courier New"/>
    </w:rPr>
  </w:style>
  <w:style w:type="character" w:customStyle="1" w:styleId="309">
    <w:name w:val="ListLabel 261"/>
    <w:qFormat/>
    <w:uiPriority w:val="0"/>
    <w:rPr>
      <w:rFonts w:cs="Wingdings"/>
    </w:rPr>
  </w:style>
  <w:style w:type="character" w:customStyle="1" w:styleId="310">
    <w:name w:val="ListLabel 262"/>
    <w:qFormat/>
    <w:uiPriority w:val="0"/>
    <w:rPr>
      <w:rFonts w:cs="Symbol"/>
    </w:rPr>
  </w:style>
  <w:style w:type="character" w:customStyle="1" w:styleId="311">
    <w:name w:val="ListLabel 263"/>
    <w:qFormat/>
    <w:uiPriority w:val="0"/>
    <w:rPr>
      <w:rFonts w:cs="Courier New"/>
    </w:rPr>
  </w:style>
  <w:style w:type="character" w:customStyle="1" w:styleId="312">
    <w:name w:val="ListLabel 264"/>
    <w:qFormat/>
    <w:uiPriority w:val="0"/>
    <w:rPr>
      <w:rFonts w:cs="Wingdings"/>
    </w:rPr>
  </w:style>
  <w:style w:type="character" w:customStyle="1" w:styleId="313">
    <w:name w:val="ListLabel 265"/>
    <w:qFormat/>
    <w:uiPriority w:val="0"/>
    <w:rPr>
      <w:rFonts w:cs="Symbol"/>
    </w:rPr>
  </w:style>
  <w:style w:type="character" w:customStyle="1" w:styleId="314">
    <w:name w:val="ListLabel 266"/>
    <w:qFormat/>
    <w:uiPriority w:val="0"/>
    <w:rPr>
      <w:rFonts w:cs="Courier New"/>
    </w:rPr>
  </w:style>
  <w:style w:type="character" w:customStyle="1" w:styleId="315">
    <w:name w:val="ListLabel 267"/>
    <w:qFormat/>
    <w:uiPriority w:val="0"/>
    <w:rPr>
      <w:rFonts w:cs="Wingdings"/>
    </w:rPr>
  </w:style>
  <w:style w:type="character" w:customStyle="1" w:styleId="316">
    <w:name w:val="ListLabel 268"/>
    <w:qFormat/>
    <w:uiPriority w:val="0"/>
    <w:rPr>
      <w:rFonts w:cs="Symbol"/>
    </w:rPr>
  </w:style>
  <w:style w:type="character" w:customStyle="1" w:styleId="317">
    <w:name w:val="ListLabel 269"/>
    <w:qFormat/>
    <w:uiPriority w:val="0"/>
    <w:rPr>
      <w:rFonts w:cs="Courier New"/>
    </w:rPr>
  </w:style>
  <w:style w:type="character" w:customStyle="1" w:styleId="318">
    <w:name w:val="ListLabel 270"/>
    <w:qFormat/>
    <w:uiPriority w:val="0"/>
    <w:rPr>
      <w:rFonts w:cs="Wingdings"/>
    </w:rPr>
  </w:style>
  <w:style w:type="character" w:customStyle="1" w:styleId="319">
    <w:name w:val="ListLabel 271"/>
    <w:qFormat/>
    <w:uiPriority w:val="0"/>
    <w:rPr>
      <w:rFonts w:cs="Symbol"/>
    </w:rPr>
  </w:style>
  <w:style w:type="character" w:customStyle="1" w:styleId="320">
    <w:name w:val="ListLabel 272"/>
    <w:qFormat/>
    <w:uiPriority w:val="0"/>
    <w:rPr>
      <w:rFonts w:cs="Courier New"/>
    </w:rPr>
  </w:style>
  <w:style w:type="character" w:customStyle="1" w:styleId="321">
    <w:name w:val="ListLabel 273"/>
    <w:qFormat/>
    <w:uiPriority w:val="0"/>
    <w:rPr>
      <w:rFonts w:cs="Wingdings"/>
    </w:rPr>
  </w:style>
  <w:style w:type="character" w:customStyle="1" w:styleId="322">
    <w:name w:val="ListLabel 274"/>
    <w:qFormat/>
    <w:uiPriority w:val="0"/>
    <w:rPr>
      <w:rFonts w:cs="Symbol"/>
    </w:rPr>
  </w:style>
  <w:style w:type="character" w:customStyle="1" w:styleId="323">
    <w:name w:val="ListLabel 275"/>
    <w:qFormat/>
    <w:uiPriority w:val="0"/>
    <w:rPr>
      <w:rFonts w:cs="Courier New"/>
    </w:rPr>
  </w:style>
  <w:style w:type="character" w:customStyle="1" w:styleId="324">
    <w:name w:val="ListLabel 276"/>
    <w:qFormat/>
    <w:uiPriority w:val="0"/>
    <w:rPr>
      <w:rFonts w:cs="Wingdings"/>
    </w:rPr>
  </w:style>
  <w:style w:type="character" w:customStyle="1" w:styleId="325">
    <w:name w:val="ListLabel 277"/>
    <w:qFormat/>
    <w:uiPriority w:val="0"/>
    <w:rPr>
      <w:rFonts w:cs="Symbol"/>
    </w:rPr>
  </w:style>
  <w:style w:type="character" w:customStyle="1" w:styleId="326">
    <w:name w:val="ListLabel 278"/>
    <w:qFormat/>
    <w:uiPriority w:val="0"/>
    <w:rPr>
      <w:rFonts w:cs="Courier New"/>
    </w:rPr>
  </w:style>
  <w:style w:type="character" w:customStyle="1" w:styleId="327">
    <w:name w:val="ListLabel 279"/>
    <w:qFormat/>
    <w:uiPriority w:val="0"/>
    <w:rPr>
      <w:rFonts w:cs="Wingdings"/>
    </w:rPr>
  </w:style>
  <w:style w:type="character" w:customStyle="1" w:styleId="328">
    <w:name w:val="ListLabel 280"/>
    <w:qFormat/>
    <w:uiPriority w:val="0"/>
    <w:rPr>
      <w:rFonts w:cs="Symbol"/>
    </w:rPr>
  </w:style>
  <w:style w:type="character" w:customStyle="1" w:styleId="329">
    <w:name w:val="ListLabel 281"/>
    <w:qFormat/>
    <w:uiPriority w:val="0"/>
    <w:rPr>
      <w:rFonts w:cs="Courier New"/>
    </w:rPr>
  </w:style>
  <w:style w:type="character" w:customStyle="1" w:styleId="330">
    <w:name w:val="ListLabel 282"/>
    <w:qFormat/>
    <w:uiPriority w:val="0"/>
    <w:rPr>
      <w:rFonts w:cs="Wingdings"/>
    </w:rPr>
  </w:style>
  <w:style w:type="character" w:customStyle="1" w:styleId="331">
    <w:name w:val="ListLabel 283"/>
    <w:qFormat/>
    <w:uiPriority w:val="0"/>
    <w:rPr>
      <w:rFonts w:cs="Symbol"/>
    </w:rPr>
  </w:style>
  <w:style w:type="character" w:customStyle="1" w:styleId="332">
    <w:name w:val="ListLabel 284"/>
    <w:qFormat/>
    <w:uiPriority w:val="0"/>
    <w:rPr>
      <w:rFonts w:cs="Courier New"/>
    </w:rPr>
  </w:style>
  <w:style w:type="character" w:customStyle="1" w:styleId="333">
    <w:name w:val="ListLabel 285"/>
    <w:qFormat/>
    <w:uiPriority w:val="0"/>
    <w:rPr>
      <w:rFonts w:cs="Wingdings"/>
    </w:rPr>
  </w:style>
  <w:style w:type="character" w:customStyle="1" w:styleId="334">
    <w:name w:val="ListLabel 286"/>
    <w:qFormat/>
    <w:uiPriority w:val="0"/>
    <w:rPr>
      <w:rFonts w:cs="Symbol"/>
    </w:rPr>
  </w:style>
  <w:style w:type="character" w:customStyle="1" w:styleId="335">
    <w:name w:val="ListLabel 287"/>
    <w:qFormat/>
    <w:uiPriority w:val="0"/>
    <w:rPr>
      <w:rFonts w:cs="Courier New"/>
    </w:rPr>
  </w:style>
  <w:style w:type="character" w:customStyle="1" w:styleId="336">
    <w:name w:val="ListLabel 288"/>
    <w:qFormat/>
    <w:uiPriority w:val="0"/>
    <w:rPr>
      <w:rFonts w:cs="Wingdings"/>
    </w:rPr>
  </w:style>
  <w:style w:type="paragraph" w:customStyle="1" w:styleId="337">
    <w:name w:val="Titolo"/>
    <w:basedOn w:val="1"/>
    <w:next w:val="9"/>
    <w:qFormat/>
    <w:uiPriority w:val="0"/>
    <w:pPr>
      <w:keepNext/>
      <w:spacing w:before="240" w:after="120"/>
    </w:pPr>
    <w:rPr>
      <w:rFonts w:ascii="Liberation Sans" w:hAnsi="Liberation Sans" w:eastAsia="Microsoft YaHei" w:cs="Lucida Sans"/>
      <w:sz w:val="28"/>
      <w:szCs w:val="28"/>
    </w:rPr>
  </w:style>
  <w:style w:type="paragraph" w:customStyle="1" w:styleId="338">
    <w:name w:val="Indice"/>
    <w:basedOn w:val="1"/>
    <w:qFormat/>
    <w:uiPriority w:val="0"/>
    <w:pPr>
      <w:suppressLineNumbers/>
    </w:pPr>
    <w:rPr>
      <w:rFonts w:cs="Lucida Sans"/>
    </w:rPr>
  </w:style>
  <w:style w:type="paragraph" w:styleId="339">
    <w:name w:val="List Paragraph"/>
    <w:basedOn w:val="1"/>
    <w:qFormat/>
    <w:uiPriority w:val="34"/>
    <w:pPr>
      <w:spacing w:before="0" w:after="160" w:line="259" w:lineRule="auto"/>
      <w:ind w:left="720" w:right="0" w:firstLine="0"/>
      <w:contextualSpacing/>
    </w:pPr>
    <w:rPr>
      <w:rFonts w:asciiTheme="minorHAnsi" w:hAnsiTheme="minorHAnsi" w:eastAsiaTheme="minorHAnsi" w:cstheme="minorBidi"/>
      <w:color w:val="00000A"/>
      <w:kern w:val="0"/>
      <w:lang w:eastAsia="en-US"/>
      <w14:ligatures w14:val="none"/>
    </w:rPr>
  </w:style>
  <w:style w:type="paragraph" w:customStyle="1" w:styleId="340">
    <w:name w:val="Default"/>
    <w:qFormat/>
    <w:uiPriority w:val="0"/>
    <w:pPr>
      <w:widowControl/>
      <w:bidi w:val="0"/>
      <w:jc w:val="left"/>
    </w:pPr>
    <w:rPr>
      <w:rFonts w:ascii="Calibri" w:hAnsi="Calibri" w:cs="Calibri" w:eastAsiaTheme="minorHAnsi"/>
      <w:color w:val="000000"/>
      <w:kern w:val="0"/>
      <w:sz w:val="24"/>
      <w:szCs w:val="24"/>
      <w:lang w:val="it-IT" w:eastAsia="en-US" w:bidi="ar-SA"/>
    </w:rPr>
  </w:style>
  <w:style w:type="paragraph" w:styleId="341">
    <w:name w:val="No Spacing"/>
    <w:basedOn w:val="339"/>
    <w:qFormat/>
    <w:uiPriority w:val="1"/>
    <w:pPr>
      <w:spacing w:before="0" w:after="0" w:line="300" w:lineRule="auto"/>
      <w:ind w:left="357" w:right="170" w:hanging="357"/>
      <w:contextualSpacing/>
    </w:pPr>
    <w:rPr>
      <w:rFonts w:ascii="Calibri Light" w:hAnsi="Calibri Light" w:cstheme="majorHAnsi"/>
    </w:rPr>
  </w:style>
  <w:style w:type="paragraph" w:customStyle="1" w:styleId="342">
    <w:name w:val="Contenuto cornice"/>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1.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1" Type="http://schemas.microsoft.com/office/2011/relationships/people" Target="people.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3.xml"/><Relationship Id="rId11" Type="http://schemas.openxmlformats.org/officeDocument/2006/relationships/header" Target="header3.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89BF69F-725F-4F33-BEFE-466F95F1DD72}">
  <ds:schemaRefs/>
</ds:datastoreItem>
</file>

<file path=docProps/app.xml><?xml version="1.0" encoding="utf-8"?>
<Properties xmlns="http://schemas.openxmlformats.org/officeDocument/2006/extended-properties" xmlns:vt="http://schemas.openxmlformats.org/officeDocument/2006/docPropsVTypes">
  <Template>Normal</Template>
  <Company>Comune di Induno Olona</Company>
  <Pages>50</Pages>
  <Words>10246</Words>
  <Characters>60638</Characters>
  <Paragraphs>1476</Paragraphs>
  <TotalTime>82</TotalTime>
  <ScaleCrop>false</ScaleCrop>
  <LinksUpToDate>false</LinksUpToDate>
  <CharactersWithSpaces>69799</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2024-05-29T15:20:00Z</dcterms:created>
  <dc:creator>Cristiano Ornaghi</dc:creator>
  <cp:lastModifiedBy>gferro</cp:lastModifiedBy>
  <dcterms:modified xsi:type="dcterms:W3CDTF">2026-09-22T07:04:44Z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Comune di Induno Olona</vt:lpwstr>
  </property>
  <property fmtid="{D5CDD505-2E9C-101B-9397-08002B2CF9AE}" pid="3" name="DocSecurity">
    <vt:i4>0</vt:i4>
  </property>
  <property fmtid="{D5CDD505-2E9C-101B-9397-08002B2CF9AE}" pid="4" name="ICV">
    <vt:lpwstr>2BC685782B0B430BA501AB0A32770BBA_13</vt:lpwstr>
  </property>
  <property fmtid="{D5CDD505-2E9C-101B-9397-08002B2CF9AE}" pid="5" name="KSOProductBuildVer">
    <vt:lpwstr>1033-12.1.0.28485</vt:lpwstr>
  </property>
  <property fmtid="{D5CDD505-2E9C-101B-9397-08002B2CF9AE}" pid="6" name="LinksUpToDate">
    <vt:bool>false</vt:bool>
  </property>
  <property fmtid="{D5CDD505-2E9C-101B-9397-08002B2CF9AE}" pid="7" name="ScaleCrop">
    <vt:bool>false</vt:bool>
  </property>
  <property fmtid="{D5CDD505-2E9C-101B-9397-08002B2CF9AE}" pid="8" name="KSOTemplateDocerSaveRecord">
    <vt:lpwstr>eyJoZGlkIjoiY2ZhNWM1MTlmN2JkYjQ0NGVkZjc4ZWJjYzRhY2ZiZTQifQ==</vt:lpwstr>
  </property>
</Properties>
</file>