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2"/>
        <w:gridCol w:w="2270"/>
        <w:gridCol w:w="5670"/>
        <w:gridCol w:w="1163"/>
        <w:gridCol w:w="1276"/>
        <w:gridCol w:w="1273"/>
      </w:tblGrid>
      <w:tr>
        <w:trPr/>
        <w:tc>
          <w:tcPr>
            <w:tcW w:w="1134" w:type="dxa"/>
            <w:vMerge w:val="restart"/>
            <w:tcBorders/>
            <w:vAlign w:val="center"/>
          </w:tcPr>
          <w:p>
            <w:pPr>
              <w:pStyle w:val="Intestazione"/>
              <w:jc w:val="center"/>
              <w:rPr>
                <w:rFonts w:ascii="Berlin Sans FB Demi" w:hAnsi="Berlin Sans FB Demi"/>
                <w:b/>
                <w:b/>
              </w:rPr>
            </w:pPr>
            <w:bookmarkStart w:id="0" w:name="_GoBack"/>
            <w:bookmarkEnd w:id="0"/>
            <w:r>
              <w:rPr>
                <w:rFonts w:ascii="Berlin Sans FB Demi" w:hAnsi="Berlin Sans FB Demi"/>
                <w:b/>
              </w:rPr>
              <w:t>Disposizioni</w:t>
            </w:r>
          </w:p>
          <w:p>
            <w:pPr>
              <w:pStyle w:val="Intestazione"/>
              <w:jc w:val="center"/>
              <w:rPr>
                <w:b/>
                <w:b/>
              </w:rPr>
            </w:pPr>
            <w:r>
              <w:rPr>
                <w:rFonts w:ascii="Berlin Sans FB Demi" w:hAnsi="Berlin Sans FB Demi"/>
                <w:b/>
              </w:rPr>
              <w:t>generali</w:t>
            </w:r>
          </w:p>
        </w:tc>
        <w:tc>
          <w:tcPr>
            <w:tcW w:w="1701" w:type="dxa"/>
            <w:tcBorders/>
            <w:vAlign w:val="center"/>
          </w:tcPr>
          <w:p>
            <w:pPr>
              <w:pStyle w:val="Intestazione"/>
              <w:jc w:val="center"/>
              <w:rPr>
                <w:b/>
                <w:b/>
              </w:rPr>
            </w:pPr>
            <w:r>
              <w:rPr>
                <w:b/>
              </w:rPr>
              <w:t>Piano triennale per la prevenzione della corruzione e della trasparenza</w:t>
            </w:r>
          </w:p>
        </w:tc>
        <w:tc>
          <w:tcPr>
            <w:tcW w:w="1132" w:type="dxa"/>
            <w:tcBorders/>
            <w:vAlign w:val="center"/>
          </w:tcPr>
          <w:p>
            <w:pPr>
              <w:pStyle w:val="Intestazione"/>
              <w:jc w:val="center"/>
              <w:rPr/>
            </w:pPr>
            <w:r>
              <w:rPr/>
              <w:t>art. 10, c. 8, lett. a)</w:t>
            </w:r>
          </w:p>
        </w:tc>
        <w:tc>
          <w:tcPr>
            <w:tcW w:w="2270" w:type="dxa"/>
            <w:tcBorders/>
            <w:vAlign w:val="center"/>
          </w:tcPr>
          <w:p>
            <w:pPr>
              <w:pStyle w:val="Intestazione"/>
              <w:jc w:val="both"/>
              <w:rPr/>
            </w:pPr>
            <w:r>
              <w:rPr/>
              <w:t>Piano triennale per la prevenzione della corruzione e della trasparenza (PTPCT)</w:t>
            </w:r>
          </w:p>
        </w:tc>
        <w:tc>
          <w:tcPr>
            <w:tcW w:w="5670" w:type="dxa"/>
            <w:tcBorders/>
            <w:vAlign w:val="center"/>
          </w:tcPr>
          <w:p>
            <w:pPr>
              <w:pStyle w:val="Intestazione"/>
              <w:jc w:val="both"/>
              <w:rPr/>
            </w:pPr>
            <w:r>
              <w:rPr/>
              <w:t>Piano triennale per la prevenzione della corruzione e della trasparenza e suoi allegati, le misure integrative di prevenzione della corruzione individuate ai sensi dell’articolo 1,comma 2-bis della legge n. 190 del 2012, (MOG 231) (link alla sotto-sezione Altri contenuti/Anticorruzione)</w:t>
            </w:r>
          </w:p>
        </w:tc>
        <w:tc>
          <w:tcPr>
            <w:tcW w:w="1163" w:type="dxa"/>
            <w:tcBorders/>
            <w:vAlign w:val="center"/>
          </w:tcPr>
          <w:p>
            <w:pPr>
              <w:pStyle w:val="Intestazione"/>
              <w:jc w:val="center"/>
              <w:rPr/>
            </w:pPr>
            <w:r>
              <w:rPr/>
              <w:t>Annuale</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Atti generali</w:t>
            </w:r>
          </w:p>
        </w:tc>
        <w:tc>
          <w:tcPr>
            <w:tcW w:w="1132" w:type="dxa"/>
            <w:vMerge w:val="restart"/>
            <w:tcBorders/>
            <w:vAlign w:val="center"/>
          </w:tcPr>
          <w:p>
            <w:pPr>
              <w:pStyle w:val="Intestazione"/>
              <w:jc w:val="center"/>
              <w:rPr/>
            </w:pPr>
            <w:r>
              <w:rPr/>
              <w:t>art. 12, c. 1</w:t>
            </w:r>
          </w:p>
        </w:tc>
        <w:tc>
          <w:tcPr>
            <w:tcW w:w="2270" w:type="dxa"/>
            <w:tcBorders/>
            <w:vAlign w:val="center"/>
          </w:tcPr>
          <w:p>
            <w:pPr>
              <w:pStyle w:val="Intestazione"/>
              <w:jc w:val="both"/>
              <w:rPr/>
            </w:pPr>
            <w:r>
              <w:rPr/>
              <w:t>Riferimenti normativi su organizzazione e attività</w:t>
            </w:r>
          </w:p>
        </w:tc>
        <w:tc>
          <w:tcPr>
            <w:tcW w:w="5670" w:type="dxa"/>
            <w:tcBorders/>
            <w:vAlign w:val="center"/>
          </w:tcPr>
          <w:p>
            <w:pPr>
              <w:pStyle w:val="Intestazione"/>
              <w:jc w:val="both"/>
              <w:rPr/>
            </w:pPr>
            <w:r>
              <w:rPr/>
              <w:t>Riferimenti normativi con i relativi link alle norme di legge statale pubblicate nella banca dati "Normattiva" che regolano l'istituzione, l'organizzazione e l'attività delle pubbliche amministrazioni</w:t>
            </w:r>
          </w:p>
        </w:tc>
        <w:tc>
          <w:tcPr>
            <w:tcW w:w="1163" w:type="dxa"/>
            <w:vMerge w:val="restart"/>
            <w:tcBorders/>
            <w:vAlign w:val="center"/>
          </w:tcPr>
          <w:p>
            <w:pPr>
              <w:pStyle w:val="Intestazione"/>
              <w:jc w:val="center"/>
              <w:rPr>
                <w:lang w:val="en-GB"/>
              </w:rPr>
            </w:pPr>
            <w:r>
              <w:rPr>
                <w:lang w:val="en-GB"/>
              </w:rPr>
              <w:t>Tempestivo</w:t>
            </w:r>
          </w:p>
          <w:p>
            <w:pPr>
              <w:pStyle w:val="Intestazione"/>
              <w:jc w:val="center"/>
              <w:rPr>
                <w:lang w:val="en-GB"/>
              </w:rPr>
            </w:pPr>
            <w:r>
              <w:rPr>
                <w:lang w:val="en-GB"/>
              </w:rPr>
              <w:t xml:space="preserve">art. </w:t>
            </w:r>
            <w:r>
              <w:rPr/>
              <w:t>8 - 33/2013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vMerge w:val="continue"/>
            <w:tcBorders/>
            <w:vAlign w:val="center"/>
          </w:tcPr>
          <w:p>
            <w:pPr>
              <w:pStyle w:val="Intestazione"/>
              <w:jc w:val="center"/>
              <w:rPr/>
            </w:pPr>
            <w:r>
              <w:rPr/>
            </w:r>
          </w:p>
        </w:tc>
        <w:tc>
          <w:tcPr>
            <w:tcW w:w="2270" w:type="dxa"/>
            <w:tcBorders/>
            <w:vAlign w:val="center"/>
          </w:tcPr>
          <w:p>
            <w:pPr>
              <w:pStyle w:val="Intestazione"/>
              <w:jc w:val="both"/>
              <w:rPr>
                <w:lang w:val="en-GB"/>
              </w:rPr>
            </w:pPr>
            <w:r>
              <w:rPr>
                <w:lang w:val="en-GB"/>
              </w:rPr>
              <w:t>Atti amministrativi generali</w:t>
            </w:r>
          </w:p>
        </w:tc>
        <w:tc>
          <w:tcPr>
            <w:tcW w:w="5670" w:type="dxa"/>
            <w:tcBorders/>
            <w:vAlign w:val="center"/>
          </w:tcPr>
          <w:p>
            <w:pPr>
              <w:pStyle w:val="Intestazione"/>
              <w:jc w:val="both"/>
              <w:rPr/>
            </w:pPr>
            <w:r>
              <w:rPr/>
              <w:t>Direttive, circolari, programmi, istruzioni e ogni atto che dispone in generale sulla organizzazione, sulle funzioni, sugli obiettivi, sui procedimenti, ovvero nei quali si determina l'interpretazione di norme giuridiche che riguardano o dettano disposizioni per l'applicazione di esse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vMerge w:val="continue"/>
            <w:tcBorders/>
            <w:vAlign w:val="center"/>
          </w:tcPr>
          <w:p>
            <w:pPr>
              <w:pStyle w:val="Intestazione"/>
              <w:jc w:val="center"/>
              <w:rPr/>
            </w:pPr>
            <w:r>
              <w:rPr/>
            </w:r>
          </w:p>
        </w:tc>
        <w:tc>
          <w:tcPr>
            <w:tcW w:w="2270" w:type="dxa"/>
            <w:tcBorders/>
            <w:vAlign w:val="center"/>
          </w:tcPr>
          <w:p>
            <w:pPr>
              <w:pStyle w:val="Intestazione"/>
              <w:jc w:val="both"/>
              <w:rPr/>
            </w:pPr>
            <w:r>
              <w:rPr/>
              <w:t>Documenti di programmazione</w:t>
            </w:r>
          </w:p>
          <w:p>
            <w:pPr>
              <w:pStyle w:val="Intestazione"/>
              <w:jc w:val="both"/>
              <w:rPr/>
            </w:pPr>
            <w:r>
              <w:rPr/>
              <w:t xml:space="preserve"> </w:t>
            </w:r>
            <w:r>
              <w:rPr/>
              <w:t>strategico-gestionale</w:t>
            </w:r>
          </w:p>
        </w:tc>
        <w:tc>
          <w:tcPr>
            <w:tcW w:w="5670" w:type="dxa"/>
            <w:tcBorders/>
            <w:vAlign w:val="center"/>
          </w:tcPr>
          <w:p>
            <w:pPr>
              <w:pStyle w:val="Intestazione"/>
              <w:jc w:val="both"/>
              <w:rPr/>
            </w:pPr>
            <w:r>
              <w:rPr/>
              <w:t>Direttive ministri, documento di programmazione, obiettivi strategici in materia di prevenzione della corruzione e trasparenza</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pPr>
            <w:r>
              <w:rPr/>
              <w:t>art. 12, c. 2</w:t>
            </w:r>
          </w:p>
        </w:tc>
        <w:tc>
          <w:tcPr>
            <w:tcW w:w="2270" w:type="dxa"/>
            <w:tcBorders/>
            <w:vAlign w:val="center"/>
          </w:tcPr>
          <w:p>
            <w:pPr>
              <w:pStyle w:val="Intestazione"/>
              <w:jc w:val="both"/>
              <w:rPr/>
            </w:pPr>
            <w:r>
              <w:rPr/>
              <w:t>Statuti e leggi regionali</w:t>
            </w:r>
          </w:p>
        </w:tc>
        <w:tc>
          <w:tcPr>
            <w:tcW w:w="5670" w:type="dxa"/>
            <w:tcBorders/>
            <w:vAlign w:val="center"/>
          </w:tcPr>
          <w:p>
            <w:pPr>
              <w:pStyle w:val="Intestazione"/>
              <w:jc w:val="both"/>
              <w:rPr/>
            </w:pPr>
            <w:r>
              <w:rPr/>
              <w:t>Estremi e testi ufficiali aggiornati degli Statuti e delle norme di legge regionali, che regolano le funzioni, l'organizzazione e lo svolgimento delle attività di competenza dell'amministrazione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US"/>
              </w:rPr>
            </w:pPr>
            <w:r>
              <w:rPr>
                <w:lang w:val="en-US"/>
              </w:rPr>
              <w:t>art. 12, c. 1 ;</w:t>
            </w:r>
          </w:p>
          <w:p>
            <w:pPr>
              <w:pStyle w:val="Intestazione"/>
              <w:jc w:val="center"/>
              <w:rPr>
                <w:lang w:val="en-US"/>
              </w:rPr>
            </w:pPr>
            <w:r>
              <w:rPr>
                <w:lang w:val="en-US"/>
              </w:rPr>
              <w:t>art. 55, c. 2</w:t>
            </w:r>
          </w:p>
          <w:p>
            <w:pPr>
              <w:pStyle w:val="Intestazione"/>
              <w:jc w:val="center"/>
              <w:rPr>
                <w:lang w:val="en-US"/>
              </w:rPr>
            </w:pPr>
            <w:r>
              <w:rPr>
                <w:lang w:val="en-US"/>
              </w:rPr>
              <w:t>d.lgs. 165/2001</w:t>
            </w:r>
          </w:p>
        </w:tc>
        <w:tc>
          <w:tcPr>
            <w:tcW w:w="2270" w:type="dxa"/>
            <w:tcBorders/>
            <w:vAlign w:val="center"/>
          </w:tcPr>
          <w:p>
            <w:pPr>
              <w:pStyle w:val="Intestazione"/>
              <w:jc w:val="both"/>
              <w:rPr/>
            </w:pPr>
            <w:r>
              <w:rPr/>
              <w:t>Codice disciplinare e codice di condotta</w:t>
            </w:r>
          </w:p>
        </w:tc>
        <w:tc>
          <w:tcPr>
            <w:tcW w:w="5670" w:type="dxa"/>
            <w:tcBorders/>
            <w:vAlign w:val="center"/>
          </w:tcPr>
          <w:p>
            <w:pPr>
              <w:pStyle w:val="Intestazione"/>
              <w:jc w:val="both"/>
              <w:rPr/>
            </w:pPr>
            <w:r>
              <w:rPr/>
              <w:t>Codice disciplinare, recante l'indicazione delle  infrazioni del codice disciplinare e relative sanzioni (pubblicazione on line in alternativa all'affissione in luogo accessibile a tutti - art. 7, l. n. 300/1970) Codice di condotta inteso quale codice di comportamento</w:t>
            </w:r>
          </w:p>
        </w:tc>
        <w:tc>
          <w:tcPr>
            <w:tcW w:w="1163" w:type="dxa"/>
            <w:tcBorders/>
            <w:vAlign w:val="center"/>
          </w:tcPr>
          <w:p>
            <w:pPr>
              <w:pStyle w:val="Intestazione"/>
              <w:jc w:val="center"/>
              <w:rPr/>
            </w:pPr>
            <w:r>
              <w:rPr/>
              <w:t>Tempestivo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Oneri informativi</w:t>
            </w:r>
          </w:p>
          <w:p>
            <w:pPr>
              <w:pStyle w:val="Intestazione"/>
              <w:jc w:val="center"/>
              <w:rPr>
                <w:b/>
                <w:b/>
              </w:rPr>
            </w:pPr>
            <w:r>
              <w:rPr>
                <w:b/>
              </w:rPr>
              <w:t>per cittadini e imprese</w:t>
            </w:r>
          </w:p>
        </w:tc>
        <w:tc>
          <w:tcPr>
            <w:tcW w:w="1132" w:type="dxa"/>
            <w:tcBorders/>
            <w:vAlign w:val="center"/>
          </w:tcPr>
          <w:p>
            <w:pPr>
              <w:pStyle w:val="Intestazione"/>
              <w:jc w:val="center"/>
              <w:rPr/>
            </w:pPr>
            <w:r>
              <w:rPr/>
              <w:t>art. 12, c. 1-bis</w:t>
            </w:r>
          </w:p>
        </w:tc>
        <w:tc>
          <w:tcPr>
            <w:tcW w:w="2270" w:type="dxa"/>
            <w:tcBorders/>
            <w:vAlign w:val="center"/>
          </w:tcPr>
          <w:p>
            <w:pPr>
              <w:pStyle w:val="Intestazione"/>
              <w:jc w:val="both"/>
              <w:rPr/>
            </w:pPr>
            <w:r>
              <w:rPr/>
              <w:t>Scadenziario obblighi amministrativi</w:t>
            </w:r>
          </w:p>
        </w:tc>
        <w:tc>
          <w:tcPr>
            <w:tcW w:w="5670" w:type="dxa"/>
            <w:tcBorders/>
            <w:vAlign w:val="center"/>
          </w:tcPr>
          <w:p>
            <w:pPr>
              <w:pStyle w:val="Intestazione"/>
              <w:jc w:val="both"/>
              <w:rPr/>
            </w:pPr>
            <w:r>
              <w:rPr/>
              <w:t>Scadenzario con l'indicazione delle date di efficacia dei nuovi obblighi amministrativi a carico di cittadini e imprese introdotti dalle amministrazioni secondo le modalità definite con DPCM 8 novembre 2013</w:t>
            </w:r>
          </w:p>
        </w:tc>
        <w:tc>
          <w:tcPr>
            <w:tcW w:w="1163" w:type="dxa"/>
            <w:tcBorders/>
            <w:vAlign w:val="center"/>
          </w:tcPr>
          <w:p>
            <w:pPr>
              <w:pStyle w:val="Intestazione"/>
              <w:jc w:val="center"/>
              <w:rPr/>
            </w:pPr>
            <w:r>
              <w:rPr/>
              <w:t>Tempestivo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shd w:color="auto" w:fill="D9D9D9" w:themeFill="background1" w:themeFillShade="d9" w:val="clear"/>
            <w:vAlign w:val="center"/>
          </w:tcPr>
          <w:p>
            <w:pPr>
              <w:pStyle w:val="Intestazione"/>
              <w:jc w:val="center"/>
              <w:rPr/>
            </w:pPr>
            <w:r>
              <w:rPr/>
              <w:t>art. 34</w:t>
            </w:r>
          </w:p>
        </w:tc>
        <w:tc>
          <w:tcPr>
            <w:tcW w:w="2270" w:type="dxa"/>
            <w:tcBorders/>
            <w:shd w:color="auto" w:fill="D9D9D9" w:themeFill="background1" w:themeFillShade="d9" w:val="clear"/>
            <w:vAlign w:val="center"/>
          </w:tcPr>
          <w:p>
            <w:pPr>
              <w:pStyle w:val="Intestazione"/>
              <w:jc w:val="both"/>
              <w:rPr/>
            </w:pPr>
            <w:r>
              <w:rPr/>
              <w:t>Oneri informativi per cittadini e imprese</w:t>
            </w:r>
          </w:p>
        </w:tc>
        <w:tc>
          <w:tcPr>
            <w:tcW w:w="5670" w:type="dxa"/>
            <w:tcBorders/>
            <w:shd w:color="auto" w:fill="D9D9D9" w:themeFill="background1" w:themeFillShade="d9" w:val="clear"/>
            <w:vAlign w:val="center"/>
          </w:tcPr>
          <w:p>
            <w:pPr>
              <w:pStyle w:val="Intestazione"/>
              <w:jc w:val="both"/>
              <w:rPr/>
            </w:pPr>
            <w:r>
              <w:rPr/>
              <w:t>Regolamenti ministeriali o interministeriali, provvedimenti amministrativi a carattere generale adottati dalle amministrazioni dello Stato per regolare l'esercizio di poteri autorizzatori, concessori o certificatori, nonchè l'accesso ai servizi pubblici ovvero la concessione di benefici con allegato elenco di tutti gli oneri informativi gravanti sui cittadini e sulle imprese introdotti o eliminati con i medesimi atti</w:t>
            </w:r>
          </w:p>
        </w:tc>
        <w:tc>
          <w:tcPr>
            <w:tcW w:w="1163" w:type="dxa"/>
            <w:vMerge w:val="restart"/>
            <w:tcBorders/>
            <w:shd w:color="auto" w:fill="D9D9D9" w:themeFill="background1" w:themeFillShade="d9" w:val="clear"/>
            <w:vAlign w:val="center"/>
          </w:tcPr>
          <w:p>
            <w:pPr>
              <w:pStyle w:val="Intestazione"/>
              <w:jc w:val="center"/>
              <w:rPr/>
            </w:pPr>
            <w:r>
              <w:rPr/>
              <w:t>Dati non più soggetti a pubblicazione obbligatoria ai sensi del dlgs 97/2016</w:t>
            </w:r>
          </w:p>
        </w:tc>
        <w:tc>
          <w:tcPr>
            <w:tcW w:w="1276"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shd w:color="auto" w:fill="D9D9D9" w:themeFill="background1" w:themeFillShade="d9" w:val="clear"/>
            <w:vAlign w:val="center"/>
          </w:tcPr>
          <w:p>
            <w:pPr>
              <w:pStyle w:val="Intestazione"/>
              <w:jc w:val="center"/>
              <w:rPr>
                <w:b/>
                <w:b/>
              </w:rPr>
            </w:pPr>
            <w:r>
              <w:rPr>
                <w:b/>
              </w:rPr>
              <w:t>Burocrazia zero</w:t>
            </w:r>
          </w:p>
        </w:tc>
        <w:tc>
          <w:tcPr>
            <w:tcW w:w="1132" w:type="dxa"/>
            <w:tcBorders/>
            <w:shd w:color="auto" w:fill="D9D9D9" w:themeFill="background1" w:themeFillShade="d9" w:val="clear"/>
            <w:vAlign w:val="center"/>
          </w:tcPr>
          <w:p>
            <w:pPr>
              <w:pStyle w:val="Intestazione"/>
              <w:jc w:val="center"/>
              <w:rPr/>
            </w:pPr>
            <w:r>
              <w:rPr/>
              <w:t>art. 37, c. 3,</w:t>
            </w:r>
          </w:p>
          <w:p>
            <w:pPr>
              <w:pStyle w:val="Intestazione"/>
              <w:jc w:val="center"/>
              <w:rPr/>
            </w:pPr>
            <w:r>
              <w:rPr/>
              <w:t xml:space="preserve"> </w:t>
            </w:r>
            <w:r>
              <w:rPr/>
              <w:t>d.l. 69/2013</w:t>
            </w:r>
          </w:p>
        </w:tc>
        <w:tc>
          <w:tcPr>
            <w:tcW w:w="2270" w:type="dxa"/>
            <w:tcBorders/>
            <w:shd w:color="auto" w:fill="D9D9D9" w:themeFill="background1" w:themeFillShade="d9" w:val="clear"/>
            <w:vAlign w:val="center"/>
          </w:tcPr>
          <w:p>
            <w:pPr>
              <w:pStyle w:val="Intestazione"/>
              <w:jc w:val="both"/>
              <w:rPr/>
            </w:pPr>
            <w:r>
              <w:rPr/>
              <w:t>Burocrazia zero</w:t>
            </w:r>
          </w:p>
        </w:tc>
        <w:tc>
          <w:tcPr>
            <w:tcW w:w="5670" w:type="dxa"/>
            <w:tcBorders/>
            <w:shd w:color="auto" w:fill="D9D9D9" w:themeFill="background1" w:themeFillShade="d9" w:val="clear"/>
            <w:vAlign w:val="center"/>
          </w:tcPr>
          <w:p>
            <w:pPr>
              <w:pStyle w:val="Intestazione"/>
              <w:jc w:val="both"/>
              <w:rPr/>
            </w:pPr>
            <w:r>
              <w:rPr/>
              <w:t>Casi in cui il rilascio delle autorizzazioni di competenza è sostituito da una comunicazione dell'interessato</w:t>
            </w:r>
          </w:p>
        </w:tc>
        <w:tc>
          <w:tcPr>
            <w:tcW w:w="1163" w:type="dxa"/>
            <w:vMerge w:val="continue"/>
            <w:tcBorders/>
            <w:shd w:color="auto" w:fill="D9D9D9" w:themeFill="background1" w:themeFillShade="d9" w:val="clear"/>
            <w:vAlign w:val="center"/>
          </w:tcPr>
          <w:p>
            <w:pPr>
              <w:pStyle w:val="Intestazione"/>
              <w:jc w:val="center"/>
              <w:rPr/>
            </w:pPr>
            <w:r>
              <w:rPr/>
            </w:r>
          </w:p>
        </w:tc>
        <w:tc>
          <w:tcPr>
            <w:tcW w:w="1276"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shd w:color="auto" w:fill="D9D9D9" w:themeFill="background1" w:themeFillShade="d9" w:val="clear"/>
            <w:vAlign w:val="center"/>
          </w:tcPr>
          <w:p>
            <w:pPr>
              <w:pStyle w:val="Intestazione"/>
              <w:jc w:val="center"/>
              <w:rPr>
                <w:b/>
                <w:b/>
              </w:rPr>
            </w:pPr>
            <w:r>
              <w:rPr>
                <w:b/>
              </w:rPr>
            </w:r>
          </w:p>
        </w:tc>
        <w:tc>
          <w:tcPr>
            <w:tcW w:w="1132" w:type="dxa"/>
            <w:tcBorders/>
            <w:shd w:color="auto" w:fill="D9D9D9" w:themeFill="background1" w:themeFillShade="d9" w:val="clear"/>
            <w:vAlign w:val="center"/>
          </w:tcPr>
          <w:p>
            <w:pPr>
              <w:pStyle w:val="Intestazione"/>
              <w:jc w:val="center"/>
              <w:rPr/>
            </w:pPr>
            <w:r>
              <w:rPr/>
              <w:t>art. 37, c. 3-bis,</w:t>
            </w:r>
          </w:p>
          <w:p>
            <w:pPr>
              <w:pStyle w:val="Intestazione"/>
              <w:jc w:val="center"/>
              <w:rPr/>
            </w:pPr>
            <w:r>
              <w:rPr/>
              <w:t>d.l. 69/2013</w:t>
            </w:r>
          </w:p>
        </w:tc>
        <w:tc>
          <w:tcPr>
            <w:tcW w:w="2270" w:type="dxa"/>
            <w:tcBorders/>
            <w:shd w:color="auto" w:fill="D9D9D9" w:themeFill="background1" w:themeFillShade="d9" w:val="clear"/>
            <w:vAlign w:val="center"/>
          </w:tcPr>
          <w:p>
            <w:pPr>
              <w:pStyle w:val="Intestazione"/>
              <w:jc w:val="both"/>
              <w:rPr/>
            </w:pPr>
            <w:r>
              <w:rPr/>
              <w:t>Attività soggette a controllo</w:t>
            </w:r>
          </w:p>
        </w:tc>
        <w:tc>
          <w:tcPr>
            <w:tcW w:w="5670" w:type="dxa"/>
            <w:tcBorders/>
            <w:shd w:color="auto" w:fill="D9D9D9" w:themeFill="background1" w:themeFillShade="d9" w:val="clear"/>
            <w:vAlign w:val="center"/>
          </w:tcPr>
          <w:p>
            <w:pPr>
              <w:pStyle w:val="Intestazione"/>
              <w:jc w:val="both"/>
              <w:rPr/>
            </w:pPr>
            <w:r>
              <w:rPr/>
              <w:t>Elenco delle attività delle imprese soggette a controllo (ovvero per le quali le pubbliche amministrazioni competenti ritengono necessarie l'autorizzazione, la segnalazione certificata di inizio attività o la mera comunicazione)</w:t>
            </w:r>
          </w:p>
        </w:tc>
        <w:tc>
          <w:tcPr>
            <w:tcW w:w="1163" w:type="dxa"/>
            <w:vMerge w:val="continue"/>
            <w:tcBorders/>
            <w:shd w:color="auto" w:fill="D9D9D9" w:themeFill="background1" w:themeFillShade="d9" w:val="clear"/>
            <w:vAlign w:val="center"/>
          </w:tcPr>
          <w:p>
            <w:pPr>
              <w:pStyle w:val="Intestazione"/>
              <w:jc w:val="center"/>
              <w:rPr/>
            </w:pPr>
            <w:r>
              <w:rPr/>
            </w:r>
          </w:p>
        </w:tc>
        <w:tc>
          <w:tcPr>
            <w:tcW w:w="1276"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2"/>
        <w:gridCol w:w="2270"/>
        <w:gridCol w:w="5670"/>
        <w:gridCol w:w="1163"/>
        <w:gridCol w:w="1276"/>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Organizzazione</w:t>
            </w:r>
          </w:p>
        </w:tc>
        <w:tc>
          <w:tcPr>
            <w:tcW w:w="1701" w:type="dxa"/>
            <w:vMerge w:val="restart"/>
            <w:tcBorders>
              <w:bottom w:val="nil"/>
            </w:tcBorders>
            <w:vAlign w:val="center"/>
          </w:tcPr>
          <w:p>
            <w:pPr>
              <w:pStyle w:val="Intestazione"/>
              <w:jc w:val="center"/>
              <w:rPr>
                <w:b/>
                <w:b/>
              </w:rPr>
            </w:pPr>
            <w:r>
              <w:rPr>
                <w:b/>
              </w:rPr>
            </w:r>
          </w:p>
          <w:p>
            <w:pPr>
              <w:pStyle w:val="Intestazione"/>
              <w:jc w:val="center"/>
              <w:rPr>
                <w:b/>
                <w:b/>
              </w:rPr>
            </w:pPr>
            <w:r>
              <w:rPr>
                <w:b/>
              </w:rPr>
            </w:r>
          </w:p>
          <w:p>
            <w:pPr>
              <w:pStyle w:val="Intestazione"/>
              <w:jc w:val="center"/>
              <w:rPr>
                <w:b/>
                <w:b/>
              </w:rPr>
            </w:pPr>
            <w:r>
              <w:rPr>
                <w:b/>
              </w:rPr>
            </w:r>
          </w:p>
          <w:p>
            <w:pPr>
              <w:pStyle w:val="Intestazione"/>
              <w:jc w:val="center"/>
              <w:rPr>
                <w:b/>
                <w:b/>
              </w:rPr>
            </w:pPr>
            <w:r>
              <w:rPr>
                <w:b/>
              </w:rPr>
            </w:r>
          </w:p>
          <w:p>
            <w:pPr>
              <w:pStyle w:val="Intestazione"/>
              <w:jc w:val="center"/>
              <w:rPr>
                <w:b/>
                <w:b/>
              </w:rPr>
            </w:pPr>
            <w:r>
              <w:rPr>
                <w:b/>
              </w:rPr>
            </w:r>
          </w:p>
          <w:p>
            <w:pPr>
              <w:pStyle w:val="Intestazione"/>
              <w:jc w:val="center"/>
              <w:rPr>
                <w:b/>
                <w:b/>
              </w:rPr>
            </w:pPr>
            <w:r>
              <w:rPr>
                <w:b/>
              </w:rPr>
            </w:r>
          </w:p>
          <w:p>
            <w:pPr>
              <w:pStyle w:val="Intestazione"/>
              <w:jc w:val="center"/>
              <w:rPr>
                <w:b/>
                <w:b/>
              </w:rPr>
            </w:pPr>
            <w:r>
              <w:rPr>
                <w:b/>
              </w:rPr>
            </w:r>
          </w:p>
          <w:p>
            <w:pPr>
              <w:pStyle w:val="Intestazione"/>
              <w:jc w:val="center"/>
              <w:rPr>
                <w:b/>
                <w:b/>
              </w:rPr>
            </w:pPr>
            <w:r>
              <w:rPr>
                <w:b/>
              </w:rPr>
              <w:t>Titolari di incarichi politici,</w:t>
            </w:r>
          </w:p>
          <w:p>
            <w:pPr>
              <w:pStyle w:val="Intestazione"/>
              <w:jc w:val="center"/>
              <w:rPr>
                <w:b/>
                <w:b/>
              </w:rPr>
            </w:pPr>
            <w:r>
              <w:rPr>
                <w:b/>
              </w:rPr>
              <w:t>di amministrazione, di direzione o di governo</w:t>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tc>
        <w:tc>
          <w:tcPr>
            <w:tcW w:w="1132" w:type="dxa"/>
            <w:tcBorders/>
            <w:vAlign w:val="center"/>
          </w:tcPr>
          <w:p>
            <w:pPr>
              <w:pStyle w:val="Intestazione"/>
              <w:jc w:val="center"/>
              <w:rPr/>
            </w:pPr>
            <w:r>
              <w:rPr/>
              <w:t>art. 13, c. 1, lett. a)</w:t>
            </w:r>
          </w:p>
        </w:tc>
        <w:tc>
          <w:tcPr>
            <w:tcW w:w="2270" w:type="dxa"/>
            <w:tcBorders/>
            <w:vAlign w:val="center"/>
          </w:tcPr>
          <w:p>
            <w:pPr>
              <w:pStyle w:val="Intestazione"/>
              <w:jc w:val="both"/>
              <w:rPr/>
            </w:pPr>
            <w:r>
              <w:rPr/>
            </w:r>
          </w:p>
        </w:tc>
        <w:tc>
          <w:tcPr>
            <w:tcW w:w="5670" w:type="dxa"/>
            <w:tcBorders/>
            <w:vAlign w:val="center"/>
          </w:tcPr>
          <w:p>
            <w:pPr>
              <w:pStyle w:val="Intestazione"/>
              <w:jc w:val="both"/>
              <w:rPr/>
            </w:pPr>
            <w:r>
              <w:rPr/>
              <w:t>Organi di indirizzo politico e di amministrazione e gestione, con l'indicazione delle rispettive competenze</w:t>
            </w:r>
          </w:p>
        </w:tc>
        <w:tc>
          <w:tcPr>
            <w:tcW w:w="1163" w:type="dxa"/>
            <w:vMerge w:val="restart"/>
            <w:tcBorders/>
            <w:vAlign w:val="center"/>
          </w:tcPr>
          <w:p>
            <w:pPr>
              <w:pStyle w:val="Intestazione"/>
              <w:jc w:val="center"/>
              <w:rPr>
                <w:lang w:val="en-GB"/>
              </w:rPr>
            </w:pPr>
            <w:r>
              <w:rPr>
                <w:lang w:val="en-GB"/>
              </w:rPr>
              <w:t>Tempestivo</w:t>
            </w:r>
          </w:p>
          <w:p>
            <w:pPr>
              <w:pStyle w:val="Intestazione"/>
              <w:jc w:val="center"/>
              <w:rPr>
                <w:lang w:val="en-GB"/>
              </w:rPr>
            </w:pPr>
            <w:r>
              <w:rPr>
                <w:lang w:val="en-GB"/>
              </w:rPr>
              <w:t>art. 8 d.lgs.33/2013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 a)</w:t>
            </w:r>
          </w:p>
        </w:tc>
        <w:tc>
          <w:tcPr>
            <w:tcW w:w="2270" w:type="dxa"/>
            <w:vMerge w:val="restart"/>
            <w:tcBorders>
              <w:bottom w:val="nil"/>
            </w:tcBorders>
            <w:vAlign w:val="center"/>
          </w:tcPr>
          <w:p>
            <w:pPr>
              <w:pStyle w:val="Intestazione"/>
              <w:jc w:val="both"/>
              <w:rPr/>
            </w:pPr>
            <w:r>
              <w:rPr/>
              <w:t>Titolari di incarichi politici di cui</w:t>
            </w:r>
          </w:p>
          <w:p>
            <w:pPr>
              <w:pStyle w:val="Intestazione"/>
              <w:jc w:val="both"/>
              <w:rPr/>
            </w:pPr>
            <w:r>
              <w:rPr/>
              <w:t>all'art. 14, c. 1, del d.lgs. 33/2013</w:t>
            </w:r>
          </w:p>
          <w:p>
            <w:pPr>
              <w:pStyle w:val="Intestazione"/>
              <w:jc w:val="both"/>
              <w:rPr/>
            </w:pPr>
            <w:r>
              <w:rPr/>
            </w:r>
          </w:p>
          <w:p>
            <w:pPr>
              <w:pStyle w:val="Intestazione"/>
              <w:jc w:val="both"/>
              <w:rPr/>
            </w:pPr>
            <w:r>
              <w:rPr/>
              <w:t>(da pubblicare in tabelle)</w:t>
            </w:r>
          </w:p>
          <w:p>
            <w:pPr>
              <w:pStyle w:val="Intestazione"/>
              <w:jc w:val="both"/>
              <w:rPr/>
            </w:pPr>
            <w:r>
              <w:rPr/>
            </w:r>
          </w:p>
          <w:p>
            <w:pPr>
              <w:pStyle w:val="Intestazione"/>
              <w:jc w:val="both"/>
              <w:rPr>
                <w:i/>
                <w:i/>
              </w:rPr>
            </w:pPr>
            <w:r>
              <w:rPr>
                <w:i/>
              </w:rPr>
              <w:t>continua alla pagina successiva</w:t>
            </w:r>
          </w:p>
        </w:tc>
        <w:tc>
          <w:tcPr>
            <w:tcW w:w="5670" w:type="dxa"/>
            <w:tcBorders/>
            <w:vAlign w:val="center"/>
          </w:tcPr>
          <w:p>
            <w:pPr>
              <w:pStyle w:val="Intestazione"/>
              <w:jc w:val="both"/>
              <w:rPr/>
            </w:pPr>
            <w:r>
              <w:rPr/>
              <w:t>Atto di nomina o di proclamazione, con l'indicazione della durata dell'incarico o del mandato elettivo</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lett.b)</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Curriculum vitae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vMerge w:val="restart"/>
            <w:tcBorders/>
            <w:vAlign w:val="center"/>
          </w:tcPr>
          <w:p>
            <w:pPr>
              <w:pStyle w:val="Intestazione"/>
              <w:jc w:val="center"/>
              <w:rPr/>
            </w:pPr>
            <w:r>
              <w:rPr/>
              <w:t>art. 14, c. 1, lett.c)</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Compensi di qualsiasi natura connessi all'assunzione della carica</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vMerge w:val="continue"/>
            <w:tcBorders/>
            <w:vAlign w:val="center"/>
          </w:tcPr>
          <w:p>
            <w:pPr>
              <w:pStyle w:val="Intestazione"/>
              <w:jc w:val="center"/>
              <w:rPr/>
            </w:pPr>
            <w:r>
              <w:rPr/>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Importi di viaggi di servizio e missioni pagati con fondi pubblici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lett.d)</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Dati relativi all'assunzione di altre cariche, presso enti pubblici o privati, e relativi compensi a qualsiasi titolo corrisposti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rHeight w:val="406" w:hRule="atLeast"/>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lett.e)</w:t>
            </w:r>
          </w:p>
        </w:tc>
        <w:tc>
          <w:tcPr>
            <w:tcW w:w="2270" w:type="dxa"/>
            <w:vMerge w:val="continue"/>
            <w:tcBorders/>
            <w:vAlign w:val="center"/>
          </w:tcPr>
          <w:p>
            <w:pPr>
              <w:pStyle w:val="Intestazione"/>
              <w:jc w:val="both"/>
              <w:rPr/>
            </w:pPr>
            <w:r>
              <w:rPr/>
            </w:r>
          </w:p>
        </w:tc>
        <w:tc>
          <w:tcPr>
            <w:tcW w:w="5670" w:type="dxa"/>
            <w:tcBorders/>
            <w:vAlign w:val="center"/>
          </w:tcPr>
          <w:p>
            <w:pPr>
              <w:pStyle w:val="Intestazione"/>
              <w:jc w:val="both"/>
              <w:rPr/>
            </w:pPr>
            <w:r>
              <w:rPr/>
              <w:t>Altri eventuali incarichi con  oneri a carico della finanza pubblica e indicazione dei compensi spettanti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r>
        <w:br w:type="page"/>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2"/>
        <w:gridCol w:w="2270"/>
        <w:gridCol w:w="5670"/>
        <w:gridCol w:w="1163"/>
        <w:gridCol w:w="1276"/>
        <w:gridCol w:w="1273"/>
      </w:tblGrid>
      <w:tr>
        <w:trPr/>
        <w:tc>
          <w:tcPr>
            <w:tcW w:w="1134" w:type="dxa"/>
            <w:vMerge w:val="restart"/>
            <w:tcBorders/>
            <w:vAlign w:val="center"/>
          </w:tcPr>
          <w:p>
            <w:pPr>
              <w:pStyle w:val="Intestazione"/>
              <w:pageBreakBefore/>
              <w:jc w:val="center"/>
              <w:rPr>
                <w:rFonts w:ascii="Berlin Sans FB Demi" w:hAnsi="Berlin Sans FB Demi"/>
                <w:b/>
                <w:b/>
              </w:rPr>
            </w:pPr>
            <w:r>
              <w:rPr>
                <w:rFonts w:ascii="Berlin Sans FB Demi" w:hAnsi="Berlin Sans FB Demi"/>
                <w:b/>
              </w:rPr>
              <w:t>Organizzazione</w:t>
            </w:r>
          </w:p>
        </w:tc>
        <w:tc>
          <w:tcPr>
            <w:tcW w:w="1701" w:type="dxa"/>
            <w:vMerge w:val="restart"/>
            <w:tcBorders>
              <w:bottom w:val="nil"/>
            </w:tcBorders>
            <w:vAlign w:val="center"/>
          </w:tcPr>
          <w:p>
            <w:pPr>
              <w:pStyle w:val="Intestazione"/>
              <w:jc w:val="center"/>
              <w:rPr>
                <w:b/>
                <w:b/>
              </w:rPr>
            </w:pPr>
            <w:r>
              <w:rPr>
                <w:b/>
              </w:rPr>
              <w:t>Titolari di incarichi politici,</w:t>
            </w:r>
          </w:p>
          <w:p>
            <w:pPr>
              <w:pStyle w:val="Intestazione"/>
              <w:jc w:val="center"/>
              <w:rPr>
                <w:b/>
                <w:b/>
              </w:rPr>
            </w:pPr>
            <w:r>
              <w:rPr>
                <w:b/>
              </w:rPr>
              <w:t>di amministrazione, di direzione o di governo</w:t>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2, c. 1, p. 1,</w:t>
            </w:r>
          </w:p>
          <w:p>
            <w:pPr>
              <w:pStyle w:val="Intestazione"/>
              <w:jc w:val="center"/>
              <w:rPr>
                <w:lang w:val="en-GB"/>
              </w:rPr>
            </w:pPr>
            <w:r>
              <w:rPr>
                <w:lang w:val="en-GB"/>
              </w:rPr>
              <w:t>legge 441/1982</w:t>
            </w:r>
          </w:p>
        </w:tc>
        <w:tc>
          <w:tcPr>
            <w:tcW w:w="2270" w:type="dxa"/>
            <w:vMerge w:val="restart"/>
            <w:tcBorders/>
            <w:vAlign w:val="center"/>
          </w:tcPr>
          <w:p>
            <w:pPr>
              <w:pStyle w:val="Intestazione"/>
              <w:jc w:val="both"/>
              <w:rPr/>
            </w:pPr>
            <w:r>
              <w:rPr/>
              <w:t>Titolari di incarichi politici di cui</w:t>
            </w:r>
          </w:p>
          <w:p>
            <w:pPr>
              <w:pStyle w:val="Intestazione"/>
              <w:jc w:val="both"/>
              <w:rPr/>
            </w:pPr>
            <w:r>
              <w:rPr/>
              <w:t>all'art. 14, c. 1, del d.lgs. 33/2013</w:t>
            </w:r>
          </w:p>
          <w:p>
            <w:pPr>
              <w:pStyle w:val="Intestazione"/>
              <w:jc w:val="both"/>
              <w:rPr/>
            </w:pPr>
            <w:r>
              <w:rPr/>
            </w:r>
          </w:p>
          <w:p>
            <w:pPr>
              <w:pStyle w:val="Intestazione"/>
              <w:jc w:val="both"/>
              <w:rPr>
                <w:lang w:val="en-GB"/>
              </w:rPr>
            </w:pPr>
            <w:r>
              <w:rPr/>
              <w:t>(da pubblicare in tabelle)</w:t>
            </w:r>
          </w:p>
        </w:tc>
        <w:tc>
          <w:tcPr>
            <w:tcW w:w="5670" w:type="dxa"/>
            <w:tcBorders/>
            <w:vAlign w:val="center"/>
          </w:tcPr>
          <w:p>
            <w:pPr>
              <w:pStyle w:val="Intestazione"/>
              <w:jc w:val="both"/>
              <w:rPr/>
            </w:pPr>
            <w:r>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e riferita al momento dell'assunzione dell'incarico]</w:t>
            </w:r>
          </w:p>
        </w:tc>
        <w:tc>
          <w:tcPr>
            <w:tcW w:w="1163" w:type="dxa"/>
            <w:tcBorders/>
            <w:vAlign w:val="center"/>
          </w:tcPr>
          <w:p>
            <w:pPr>
              <w:pStyle w:val="Intestazione"/>
              <w:jc w:val="center"/>
              <w:rPr/>
            </w:pPr>
            <w:r>
              <w:rPr/>
              <w:t>Nessuno  aggiornamento</w:t>
            </w:r>
          </w:p>
          <w:p>
            <w:pPr>
              <w:pStyle w:val="Intestazione"/>
              <w:jc w:val="center"/>
              <w:rPr/>
            </w:pPr>
            <w:r>
              <w:rPr/>
              <w:t xml:space="preserve">(da presentare una sola volta entro 3 mesi  da data elezione, nomina o conferimento dell'incarico e resta pubblicata fino a cessazione dell'incarico o del mandato). </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2, c. 1, p. 2,</w:t>
            </w:r>
          </w:p>
          <w:p>
            <w:pPr>
              <w:pStyle w:val="Intestazione"/>
              <w:jc w:val="center"/>
              <w:rPr>
                <w:lang w:val="en-GB"/>
              </w:rPr>
            </w:pPr>
            <w:r>
              <w:rPr>
                <w:lang w:val="en-GB"/>
              </w:rPr>
              <w:t>legge 441/1982</w:t>
            </w:r>
          </w:p>
        </w:tc>
        <w:tc>
          <w:tcPr>
            <w:tcW w:w="2270" w:type="dxa"/>
            <w:vMerge w:val="continue"/>
            <w:tcBorders/>
            <w:vAlign w:val="center"/>
          </w:tcPr>
          <w:p>
            <w:pPr>
              <w:pStyle w:val="Intestazione"/>
              <w:jc w:val="both"/>
              <w:rPr>
                <w:lang w:val="en-GB"/>
              </w:rPr>
            </w:pPr>
            <w:r>
              <w:rPr>
                <w:lang w:val="en-GB"/>
              </w:rPr>
            </w:r>
          </w:p>
        </w:tc>
        <w:tc>
          <w:tcPr>
            <w:tcW w:w="5670" w:type="dxa"/>
            <w:tcBorders/>
            <w:vAlign w:val="center"/>
          </w:tcPr>
          <w:p>
            <w:pPr>
              <w:pStyle w:val="Intestazione"/>
              <w:jc w:val="both"/>
              <w:rPr/>
            </w:pPr>
            <w:r>
              <w:rPr/>
              <w:t>2)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w:t>
            </w:r>
          </w:p>
        </w:tc>
        <w:tc>
          <w:tcPr>
            <w:tcW w:w="1163" w:type="dxa"/>
            <w:tcBorders/>
            <w:vAlign w:val="center"/>
          </w:tcPr>
          <w:p>
            <w:pPr>
              <w:pStyle w:val="Intestazione"/>
              <w:jc w:val="center"/>
              <w:rPr/>
            </w:pPr>
            <w:r>
              <w:rPr/>
              <w:t>Entro 3 mesi dalla elezione, dalla nomina o dal conferimento dell'incarico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2, c. 1, p. 3,</w:t>
            </w:r>
          </w:p>
          <w:p>
            <w:pPr>
              <w:pStyle w:val="Intestazione"/>
              <w:jc w:val="center"/>
              <w:rPr>
                <w:lang w:val="en-GB"/>
              </w:rPr>
            </w:pPr>
            <w:r>
              <w:rPr>
                <w:lang w:val="en-GB"/>
              </w:rPr>
              <w:t>legge 441/1982</w:t>
            </w:r>
          </w:p>
        </w:tc>
        <w:tc>
          <w:tcPr>
            <w:tcW w:w="2270" w:type="dxa"/>
            <w:vMerge w:val="continue"/>
            <w:tcBorders/>
            <w:vAlign w:val="center"/>
          </w:tcPr>
          <w:p>
            <w:pPr>
              <w:pStyle w:val="Intestazione"/>
              <w:jc w:val="both"/>
              <w:rPr>
                <w:lang w:val="en-GB"/>
              </w:rPr>
            </w:pPr>
            <w:r>
              <w:rPr>
                <w:lang w:val="en-GB"/>
              </w:rPr>
            </w:r>
          </w:p>
        </w:tc>
        <w:tc>
          <w:tcPr>
            <w:tcW w:w="5670" w:type="dxa"/>
            <w:tcBorders/>
            <w:vAlign w:val="center"/>
          </w:tcPr>
          <w:p>
            <w:pPr>
              <w:pStyle w:val="Intestazione"/>
              <w:jc w:val="both"/>
              <w:rPr/>
            </w:pPr>
            <w:r>
              <w:rPr/>
              <w:t>3)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w:t>
            </w:r>
          </w:p>
        </w:tc>
        <w:tc>
          <w:tcPr>
            <w:tcW w:w="1163" w:type="dxa"/>
            <w:tcBorders/>
            <w:vAlign w:val="center"/>
          </w:tcPr>
          <w:p>
            <w:pPr>
              <w:pStyle w:val="Intestazione"/>
              <w:jc w:val="center"/>
              <w:rPr>
                <w:lang w:val="en-GB"/>
              </w:rPr>
            </w:pPr>
            <w:r>
              <w:rPr>
                <w:lang w:val="en-GB"/>
              </w:rPr>
              <w:t>Tempestivo</w:t>
            </w:r>
          </w:p>
          <w:p>
            <w:pPr>
              <w:pStyle w:val="Intestazione"/>
              <w:jc w:val="center"/>
              <w:rPr/>
            </w:pPr>
            <w:r>
              <w:rPr>
                <w:lang w:val="en-GB"/>
              </w:rPr>
              <w:t>art. 8 - 33/2013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3 legge 441/1982</w:t>
            </w:r>
          </w:p>
        </w:tc>
        <w:tc>
          <w:tcPr>
            <w:tcW w:w="2270" w:type="dxa"/>
            <w:vMerge w:val="continue"/>
            <w:tcBorders/>
            <w:vAlign w:val="center"/>
          </w:tcPr>
          <w:p>
            <w:pPr>
              <w:pStyle w:val="Intestazione"/>
              <w:jc w:val="both"/>
              <w:rPr>
                <w:lang w:val="en-GB"/>
              </w:rPr>
            </w:pPr>
            <w:r>
              <w:rPr>
                <w:lang w:val="en-GB"/>
              </w:rPr>
            </w:r>
          </w:p>
        </w:tc>
        <w:tc>
          <w:tcPr>
            <w:tcW w:w="5670" w:type="dxa"/>
            <w:tcBorders/>
            <w:vAlign w:val="center"/>
          </w:tcPr>
          <w:p>
            <w:pPr>
              <w:pStyle w:val="Intestazione"/>
              <w:jc w:val="both"/>
              <w:rPr/>
            </w:pPr>
            <w:r>
              <w:rPr/>
              <w:t>4)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w:t>
            </w:r>
          </w:p>
        </w:tc>
        <w:tc>
          <w:tcPr>
            <w:tcW w:w="1163" w:type="dxa"/>
            <w:tcBorders/>
            <w:vAlign w:val="center"/>
          </w:tcPr>
          <w:p>
            <w:pPr>
              <w:pStyle w:val="Intestazione"/>
              <w:jc w:val="center"/>
              <w:rPr/>
            </w:pPr>
            <w:r>
              <w:rPr/>
              <w:t>Annuale</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Default"/>
              <w:jc w:val="center"/>
              <w:rPr>
                <w:rFonts w:ascii="Calibri" w:hAnsi="Calibri"/>
                <w:sz w:val="13"/>
                <w:szCs w:val="13"/>
                <w:lang w:val="en-US"/>
              </w:rPr>
            </w:pPr>
            <w:r>
              <w:rPr>
                <w:rFonts w:ascii="Calibri" w:hAnsi="Calibri"/>
                <w:sz w:val="13"/>
                <w:szCs w:val="13"/>
                <w:lang w:val="en-US"/>
              </w:rPr>
              <w:t>art. 14, c. 1, lett. a)</w:t>
            </w:r>
          </w:p>
        </w:tc>
        <w:tc>
          <w:tcPr>
            <w:tcW w:w="2270" w:type="dxa"/>
            <w:vMerge w:val="restart"/>
            <w:tcBorders>
              <w:bottom w:val="nil"/>
            </w:tcBorders>
            <w:vAlign w:val="center"/>
          </w:tcPr>
          <w:p>
            <w:pPr>
              <w:pStyle w:val="Intestazione"/>
              <w:jc w:val="center"/>
              <w:rPr/>
            </w:pPr>
            <w:r>
              <w:rPr/>
              <w:t>Titolari di incarichi di amministrazione,</w:t>
            </w:r>
          </w:p>
          <w:p>
            <w:pPr>
              <w:pStyle w:val="Intestazione"/>
              <w:jc w:val="center"/>
              <w:rPr/>
            </w:pPr>
            <w:r>
              <w:rPr/>
              <w:t>di direzione o di governo di cui all'art. 14, co. 1-bis, del dlgs n. 33/2013</w:t>
            </w:r>
          </w:p>
        </w:tc>
        <w:tc>
          <w:tcPr>
            <w:tcW w:w="5670" w:type="dxa"/>
            <w:tcBorders/>
            <w:vAlign w:val="center"/>
          </w:tcPr>
          <w:p>
            <w:pPr>
              <w:pStyle w:val="Default"/>
              <w:jc w:val="both"/>
              <w:rPr>
                <w:rFonts w:ascii="Calibri" w:hAnsi="Calibri"/>
                <w:sz w:val="13"/>
                <w:szCs w:val="13"/>
              </w:rPr>
            </w:pPr>
            <w:r>
              <w:rPr>
                <w:rFonts w:ascii="Calibri" w:hAnsi="Calibri"/>
                <w:sz w:val="13"/>
                <w:szCs w:val="13"/>
              </w:rPr>
              <w:t>Atto di nomina o di proclamazione, con l'indicazione della durata dell'incarico o del mandato elettivo</w:t>
            </w:r>
          </w:p>
        </w:tc>
        <w:tc>
          <w:tcPr>
            <w:tcW w:w="1163" w:type="dxa"/>
            <w:vMerge w:val="restart"/>
            <w:tcBorders/>
            <w:vAlign w:val="center"/>
          </w:tcPr>
          <w:p>
            <w:pPr>
              <w:pStyle w:val="Intestazione"/>
              <w:jc w:val="center"/>
              <w:rPr/>
            </w:pPr>
            <w:r>
              <w:rPr/>
              <w:t>Tempestivo</w:t>
            </w:r>
          </w:p>
          <w:p>
            <w:pPr>
              <w:pStyle w:val="Intestazione"/>
              <w:jc w:val="center"/>
              <w:rPr/>
            </w:pPr>
            <w:r>
              <w:rPr/>
              <w:t>art. 8</w:t>
            </w:r>
          </w:p>
          <w:p>
            <w:pPr>
              <w:pStyle w:val="Intestazione"/>
              <w:jc w:val="center"/>
              <w:rPr/>
            </w:pPr>
            <w:r>
              <w:rPr/>
              <w:t>d.lgs.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 b)</w:t>
            </w:r>
          </w:p>
        </w:tc>
        <w:tc>
          <w:tcPr>
            <w:tcW w:w="2270" w:type="dxa"/>
            <w:vMerge w:val="continue"/>
            <w:tcBorders>
              <w:bottom w:val="nil"/>
            </w:tcBorders>
            <w:vAlign w:val="center"/>
          </w:tcPr>
          <w:p>
            <w:pPr>
              <w:pStyle w:val="Intestazione"/>
              <w:jc w:val="center"/>
              <w:rPr/>
            </w:pPr>
            <w:r>
              <w:rPr/>
            </w:r>
          </w:p>
        </w:tc>
        <w:tc>
          <w:tcPr>
            <w:tcW w:w="5670" w:type="dxa"/>
            <w:tcBorders/>
            <w:vAlign w:val="center"/>
          </w:tcPr>
          <w:p>
            <w:pPr>
              <w:pStyle w:val="Intestazione"/>
              <w:jc w:val="both"/>
              <w:rPr/>
            </w:pPr>
            <w:r>
              <w:rPr/>
              <w:t>Curriculum vitae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vMerge w:val="restart"/>
            <w:tcBorders/>
            <w:vAlign w:val="center"/>
          </w:tcPr>
          <w:p>
            <w:pPr>
              <w:pStyle w:val="Intestazione"/>
              <w:jc w:val="center"/>
              <w:rPr/>
            </w:pPr>
            <w:r>
              <w:rPr/>
              <w:t>art. 14, c. 1, lett. c)</w:t>
            </w:r>
          </w:p>
        </w:tc>
        <w:tc>
          <w:tcPr>
            <w:tcW w:w="2270" w:type="dxa"/>
            <w:vMerge w:val="continue"/>
            <w:tcBorders>
              <w:bottom w:val="nil"/>
            </w:tcBorders>
            <w:vAlign w:val="center"/>
          </w:tcPr>
          <w:p>
            <w:pPr>
              <w:pStyle w:val="Intestazione"/>
              <w:jc w:val="center"/>
              <w:rPr/>
            </w:pPr>
            <w:r>
              <w:rPr/>
            </w:r>
          </w:p>
        </w:tc>
        <w:tc>
          <w:tcPr>
            <w:tcW w:w="5670" w:type="dxa"/>
            <w:tcBorders/>
            <w:vAlign w:val="center"/>
          </w:tcPr>
          <w:p>
            <w:pPr>
              <w:pStyle w:val="Default"/>
              <w:jc w:val="both"/>
              <w:rPr>
                <w:rFonts w:ascii="Calibri" w:hAnsi="Calibri"/>
                <w:sz w:val="13"/>
                <w:szCs w:val="13"/>
              </w:rPr>
            </w:pPr>
            <w:r>
              <w:rPr>
                <w:rFonts w:ascii="Calibri" w:hAnsi="Calibri"/>
                <w:sz w:val="13"/>
                <w:szCs w:val="13"/>
              </w:rPr>
              <w:t>Compensi di qualsiasi natura connessi all'assunzione della carica</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vMerge w:val="continue"/>
            <w:tcBorders/>
            <w:vAlign w:val="center"/>
          </w:tcPr>
          <w:p>
            <w:pPr>
              <w:pStyle w:val="Intestazione"/>
              <w:jc w:val="center"/>
              <w:rPr/>
            </w:pPr>
            <w:r>
              <w:rPr/>
            </w:r>
          </w:p>
        </w:tc>
        <w:tc>
          <w:tcPr>
            <w:tcW w:w="2270" w:type="dxa"/>
            <w:vMerge w:val="continue"/>
            <w:tcBorders>
              <w:bottom w:val="nil"/>
            </w:tcBorders>
            <w:vAlign w:val="center"/>
          </w:tcPr>
          <w:p>
            <w:pPr>
              <w:pStyle w:val="Intestazione"/>
              <w:jc w:val="center"/>
              <w:rPr/>
            </w:pPr>
            <w:r>
              <w:rPr/>
            </w:r>
          </w:p>
        </w:tc>
        <w:tc>
          <w:tcPr>
            <w:tcW w:w="5670" w:type="dxa"/>
            <w:tcBorders/>
            <w:vAlign w:val="center"/>
          </w:tcPr>
          <w:p>
            <w:pPr>
              <w:pStyle w:val="Default"/>
              <w:jc w:val="both"/>
              <w:rPr>
                <w:rFonts w:ascii="Calibri" w:hAnsi="Calibri"/>
                <w:sz w:val="13"/>
                <w:szCs w:val="13"/>
              </w:rPr>
            </w:pPr>
            <w:r>
              <w:rPr>
                <w:rFonts w:ascii="Calibri" w:hAnsi="Calibri"/>
                <w:sz w:val="13"/>
                <w:szCs w:val="13"/>
              </w:rPr>
              <w:t>Importi di viaggi di servizio e missioni pagati con fondi pubblici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Intestazione"/>
              <w:jc w:val="center"/>
              <w:rPr/>
            </w:pPr>
            <w:r>
              <w:rPr>
                <w:lang w:val="en-US"/>
              </w:rPr>
              <w:t>art. 14, c. 1, lett. d)</w:t>
            </w:r>
          </w:p>
        </w:tc>
        <w:tc>
          <w:tcPr>
            <w:tcW w:w="2270" w:type="dxa"/>
            <w:vMerge w:val="continue"/>
            <w:tcBorders>
              <w:bottom w:val="nil"/>
            </w:tcBorders>
            <w:vAlign w:val="center"/>
          </w:tcPr>
          <w:p>
            <w:pPr>
              <w:pStyle w:val="Intestazione"/>
              <w:jc w:val="center"/>
              <w:rPr/>
            </w:pPr>
            <w:r>
              <w:rPr/>
            </w:r>
          </w:p>
        </w:tc>
        <w:tc>
          <w:tcPr>
            <w:tcW w:w="5670" w:type="dxa"/>
            <w:tcBorders/>
            <w:vAlign w:val="center"/>
          </w:tcPr>
          <w:p>
            <w:pPr>
              <w:pStyle w:val="Default"/>
              <w:jc w:val="both"/>
              <w:rPr>
                <w:rFonts w:ascii="Calibri" w:hAnsi="Calibri"/>
                <w:sz w:val="13"/>
                <w:szCs w:val="13"/>
              </w:rPr>
            </w:pPr>
            <w:r>
              <w:rPr>
                <w:rFonts w:ascii="Calibri" w:hAnsi="Calibri"/>
                <w:sz w:val="13"/>
                <w:szCs w:val="13"/>
              </w:rPr>
              <w:t>Dati relativi all'assunzione di altre cariche, presso enti pubblici o privati, e relativi compensi a qualsiasi titolo corrisposti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vAlign w:val="center"/>
          </w:tcPr>
          <w:p>
            <w:pPr>
              <w:pStyle w:val="Default"/>
              <w:jc w:val="center"/>
              <w:rPr>
                <w:rFonts w:ascii="Calibri" w:hAnsi="Calibri"/>
                <w:sz w:val="13"/>
                <w:szCs w:val="13"/>
                <w:lang w:val="en-US"/>
              </w:rPr>
            </w:pPr>
            <w:r>
              <w:rPr>
                <w:rFonts w:ascii="Calibri" w:hAnsi="Calibri"/>
                <w:sz w:val="13"/>
                <w:szCs w:val="13"/>
              </w:rPr>
              <w:t>art. 14, c. 1, lett. e)</w:t>
            </w:r>
          </w:p>
        </w:tc>
        <w:tc>
          <w:tcPr>
            <w:tcW w:w="2270" w:type="dxa"/>
            <w:vMerge w:val="continue"/>
            <w:tcBorders>
              <w:bottom w:val="nil"/>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Altri eventuali incarichi con oneri a carico della finanza pubblica e indicazione dei compensi spettanti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2" w:type="dxa"/>
            <w:tcBorders>
              <w:bottom w:val="nil"/>
            </w:tcBorders>
            <w:vAlign w:val="center"/>
          </w:tcPr>
          <w:p>
            <w:pPr>
              <w:pStyle w:val="Intestazione"/>
              <w:jc w:val="center"/>
              <w:rPr>
                <w:lang w:val="en-GB"/>
              </w:rPr>
            </w:pPr>
            <w:r>
              <w:rPr>
                <w:lang w:val="en-GB"/>
              </w:rPr>
              <w:t>art. 14, c. 1, lett. f);</w:t>
            </w:r>
          </w:p>
          <w:p>
            <w:pPr>
              <w:pStyle w:val="Intestazione"/>
              <w:jc w:val="center"/>
              <w:rPr>
                <w:lang w:val="en-US"/>
              </w:rPr>
            </w:pPr>
            <w:r>
              <w:rPr>
                <w:lang w:val="en-US"/>
              </w:rPr>
              <w:t>art. 2, c. 1, punto 1, l. n. 441/1982</w:t>
            </w:r>
          </w:p>
        </w:tc>
        <w:tc>
          <w:tcPr>
            <w:tcW w:w="2270" w:type="dxa"/>
            <w:vMerge w:val="continue"/>
            <w:tcBorders>
              <w:bottom w:val="nil"/>
            </w:tcBorders>
            <w:vAlign w:val="center"/>
          </w:tcPr>
          <w:p>
            <w:pPr>
              <w:pStyle w:val="Intestazione"/>
              <w:jc w:val="center"/>
              <w:rPr>
                <w:lang w:val="en-US"/>
              </w:rPr>
            </w:pPr>
            <w:r>
              <w:rPr>
                <w:lang w:val="en-US"/>
              </w:rPr>
            </w:r>
          </w:p>
        </w:tc>
        <w:tc>
          <w:tcPr>
            <w:tcW w:w="5670" w:type="dxa"/>
            <w:tcBorders>
              <w:bottom w:val="nil"/>
            </w:tcBorders>
            <w:vAlign w:val="center"/>
          </w:tcPr>
          <w:p>
            <w:pPr>
              <w:pStyle w:val="Default"/>
              <w:jc w:val="both"/>
              <w:rPr>
                <w:rFonts w:ascii="Calibri" w:hAnsi="Calibri"/>
                <w:sz w:val="13"/>
                <w:szCs w:val="13"/>
              </w:rPr>
            </w:pPr>
            <w:r>
              <w:rPr>
                <w:rFonts w:ascii="Calibri" w:hAnsi="Calibri"/>
                <w:sz w:val="13"/>
                <w:szCs w:val="13"/>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e riferita al momento dell'assunzione dell'incarico]</w:t>
            </w:r>
          </w:p>
        </w:tc>
        <w:tc>
          <w:tcPr>
            <w:tcW w:w="1163" w:type="dxa"/>
            <w:tcBorders>
              <w:bottom w:val="nil"/>
            </w:tcBorders>
            <w:vAlign w:val="center"/>
          </w:tcPr>
          <w:p>
            <w:pPr>
              <w:pStyle w:val="Default"/>
              <w:jc w:val="center"/>
              <w:rPr>
                <w:rFonts w:ascii="Calibri" w:hAnsi="Calibri"/>
                <w:sz w:val="13"/>
                <w:szCs w:val="13"/>
              </w:rPr>
            </w:pPr>
            <w:r>
              <w:rPr>
                <w:rFonts w:ascii="Calibri" w:hAnsi="Calibri"/>
                <w:sz w:val="13"/>
                <w:szCs w:val="13"/>
              </w:rPr>
              <w:t xml:space="preserve">Nessuno (va presentata una sola volta entro 3 mesi dalla elezione, dalla nomina o dal conferimento dell'incarico e resta pubblicata fino alla cessazione dell'incarico o del mandato). </w:t>
            </w:r>
          </w:p>
        </w:tc>
        <w:tc>
          <w:tcPr>
            <w:tcW w:w="1276" w:type="dxa"/>
            <w:tcBorders>
              <w:bottom w:val="nil"/>
            </w:tcBorders>
            <w:vAlign w:val="center"/>
          </w:tcPr>
          <w:p>
            <w:pPr>
              <w:pStyle w:val="Intestazione"/>
              <w:jc w:val="center"/>
              <w:rPr/>
            </w:pPr>
            <w:r>
              <w:rPr/>
            </w:r>
          </w:p>
        </w:tc>
        <w:tc>
          <w:tcPr>
            <w:tcW w:w="1273" w:type="dxa"/>
            <w:tcBorders>
              <w:bottom w:val="nil"/>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top w:val="nil"/>
              <w:bottom w:val="nil"/>
            </w:tcBorders>
            <w:vAlign w:val="center"/>
          </w:tcPr>
          <w:p>
            <w:pPr>
              <w:pStyle w:val="Intestazione"/>
              <w:jc w:val="center"/>
              <w:rPr>
                <w:b/>
                <w:b/>
              </w:rPr>
            </w:pPr>
            <w:r>
              <w:rPr>
                <w:b/>
              </w:rPr>
            </w:r>
          </w:p>
        </w:tc>
        <w:tc>
          <w:tcPr>
            <w:tcW w:w="1132" w:type="dxa"/>
            <w:tcBorders>
              <w:top w:val="nil"/>
            </w:tcBorders>
            <w:vAlign w:val="center"/>
          </w:tcPr>
          <w:p>
            <w:pPr>
              <w:pStyle w:val="Default"/>
              <w:jc w:val="center"/>
              <w:rPr>
                <w:rFonts w:ascii="Calibri" w:hAnsi="Calibri"/>
                <w:sz w:val="13"/>
                <w:szCs w:val="13"/>
                <w:lang w:val="en-US"/>
              </w:rPr>
            </w:pPr>
            <w:r>
              <w:rPr>
                <w:rFonts w:ascii="Calibri" w:hAnsi="Calibri"/>
                <w:sz w:val="13"/>
                <w:szCs w:val="13"/>
                <w:lang w:val="en-US"/>
              </w:rPr>
              <w:t>Art. 14, c. 1, lett. f), d.lgs. n. 33/2013 Art. 2, c. 1, punto 2, l. n. 441/1982</w:t>
            </w:r>
          </w:p>
        </w:tc>
        <w:tc>
          <w:tcPr>
            <w:tcW w:w="2270" w:type="dxa"/>
            <w:vMerge w:val="continue"/>
            <w:tcBorders>
              <w:top w:val="nil"/>
              <w:bottom w:val="nil"/>
            </w:tcBorders>
            <w:vAlign w:val="center"/>
          </w:tcPr>
          <w:p>
            <w:pPr>
              <w:pStyle w:val="Intestazione"/>
              <w:jc w:val="center"/>
              <w:rPr>
                <w:lang w:val="en-US"/>
              </w:rPr>
            </w:pPr>
            <w:r>
              <w:rPr>
                <w:lang w:val="en-US"/>
              </w:rPr>
            </w:r>
          </w:p>
        </w:tc>
        <w:tc>
          <w:tcPr>
            <w:tcW w:w="5670" w:type="dxa"/>
            <w:tcBorders>
              <w:top w:val="nil"/>
            </w:tcBorders>
            <w:vAlign w:val="center"/>
          </w:tcPr>
          <w:p>
            <w:pPr>
              <w:pStyle w:val="Default"/>
              <w:jc w:val="both"/>
              <w:rPr>
                <w:rFonts w:ascii="Calibri" w:hAnsi="Calibri"/>
                <w:sz w:val="13"/>
                <w:szCs w:val="13"/>
              </w:rPr>
            </w:pPr>
            <w:r>
              <w:rPr>
                <w:rFonts w:ascii="Calibri" w:hAnsi="Calibri"/>
                <w:sz w:val="13"/>
                <w:szCs w:val="13"/>
              </w:rPr>
              <w:t xml:space="preserve">2)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 </w:t>
            </w:r>
          </w:p>
        </w:tc>
        <w:tc>
          <w:tcPr>
            <w:tcW w:w="1163" w:type="dxa"/>
            <w:tcBorders>
              <w:top w:val="nil"/>
            </w:tcBorders>
            <w:vAlign w:val="center"/>
          </w:tcPr>
          <w:p>
            <w:pPr>
              <w:pStyle w:val="Default"/>
              <w:jc w:val="center"/>
              <w:rPr>
                <w:rFonts w:ascii="Calibri" w:hAnsi="Calibri"/>
                <w:sz w:val="13"/>
                <w:szCs w:val="13"/>
              </w:rPr>
            </w:pPr>
            <w:r>
              <w:rPr>
                <w:rFonts w:ascii="Calibri" w:hAnsi="Calibri"/>
                <w:sz w:val="13"/>
                <w:szCs w:val="13"/>
              </w:rPr>
              <w:t>Entro 3 mesi dalla elezione, dalla nomina o dal conferimento dell'incarico</w:t>
            </w:r>
          </w:p>
        </w:tc>
        <w:tc>
          <w:tcPr>
            <w:tcW w:w="1276" w:type="dxa"/>
            <w:tcBorders>
              <w:top w:val="nil"/>
            </w:tcBorders>
            <w:vAlign w:val="center"/>
          </w:tcPr>
          <w:p>
            <w:pPr>
              <w:pStyle w:val="Intestazione"/>
              <w:jc w:val="center"/>
              <w:rPr/>
            </w:pPr>
            <w:r>
              <w:rPr/>
            </w:r>
          </w:p>
        </w:tc>
        <w:tc>
          <w:tcPr>
            <w:tcW w:w="1273" w:type="dxa"/>
            <w:tcBorders>
              <w:top w:val="nil"/>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Titolari di incarichi politici,</w:t>
            </w:r>
          </w:p>
          <w:p>
            <w:pPr>
              <w:pStyle w:val="Intestazione"/>
              <w:jc w:val="center"/>
              <w:rPr>
                <w:b/>
                <w:b/>
              </w:rPr>
            </w:pPr>
            <w:r>
              <w:rPr>
                <w:b/>
              </w:rPr>
              <w:t>di amministrazione, di direzione o di governo</w:t>
            </w:r>
          </w:p>
        </w:tc>
        <w:tc>
          <w:tcPr>
            <w:tcW w:w="1132" w:type="dxa"/>
            <w:tcBorders/>
            <w:vAlign w:val="center"/>
          </w:tcPr>
          <w:p>
            <w:pPr>
              <w:pStyle w:val="Default"/>
              <w:jc w:val="center"/>
              <w:rPr>
                <w:rFonts w:ascii="Calibri" w:hAnsi="Calibri"/>
                <w:sz w:val="13"/>
                <w:szCs w:val="13"/>
                <w:lang w:val="en-US"/>
              </w:rPr>
            </w:pPr>
            <w:r>
              <w:rPr>
                <w:rFonts w:ascii="Calibri" w:hAnsi="Calibri"/>
                <w:sz w:val="13"/>
                <w:szCs w:val="13"/>
                <w:lang w:val="en-US"/>
              </w:rPr>
              <w:t>Art. 14, c. 1, lett. f), d.lgs. n. 33/2013 Art. 2, c. 1, punto 3, l. n. 441/1982</w:t>
            </w:r>
          </w:p>
        </w:tc>
        <w:tc>
          <w:tcPr>
            <w:tcW w:w="2270" w:type="dxa"/>
            <w:vMerge w:val="restart"/>
            <w:tcBorders/>
            <w:vAlign w:val="center"/>
          </w:tcPr>
          <w:p>
            <w:pPr>
              <w:pStyle w:val="Intestazione"/>
              <w:jc w:val="center"/>
              <w:rPr/>
            </w:pPr>
            <w:r>
              <w:rPr/>
              <w:t>Titolari di incarichi di amministrazione,</w:t>
            </w:r>
          </w:p>
          <w:p>
            <w:pPr>
              <w:pStyle w:val="Intestazione"/>
              <w:jc w:val="center"/>
              <w:rPr>
                <w:lang w:val="en-US"/>
              </w:rPr>
            </w:pPr>
            <w:r>
              <w:rPr/>
              <w:t>di direzione o di governo di cui all'art. 14, co. 1-bis, del dlgs n. 33/2013</w:t>
            </w:r>
          </w:p>
        </w:tc>
        <w:tc>
          <w:tcPr>
            <w:tcW w:w="5670" w:type="dxa"/>
            <w:tcBorders/>
            <w:vAlign w:val="center"/>
          </w:tcPr>
          <w:p>
            <w:pPr>
              <w:pStyle w:val="Default"/>
              <w:rPr>
                <w:rFonts w:ascii="Calibri" w:hAnsi="Calibri"/>
                <w:sz w:val="13"/>
                <w:szCs w:val="13"/>
              </w:rPr>
            </w:pPr>
            <w:r>
              <w:rPr>
                <w:rFonts w:ascii="Calibri" w:hAnsi="Calibri"/>
                <w:sz w:val="13"/>
                <w:szCs w:val="13"/>
              </w:rPr>
              <w:t xml:space="preserve">3)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w:t>
            </w:r>
          </w:p>
        </w:tc>
        <w:tc>
          <w:tcPr>
            <w:tcW w:w="1163" w:type="dxa"/>
            <w:tcBorders/>
            <w:vAlign w:val="center"/>
          </w:tcPr>
          <w:p>
            <w:pPr>
              <w:pStyle w:val="Intestazione"/>
              <w:jc w:val="center"/>
              <w:rPr/>
            </w:pPr>
            <w:r>
              <w:rPr/>
              <w:t>Tempestivo</w:t>
            </w:r>
          </w:p>
          <w:p>
            <w:pPr>
              <w:pStyle w:val="Intestazione"/>
              <w:jc w:val="center"/>
              <w:rPr/>
            </w:pPr>
            <w:r>
              <w:rPr/>
              <w:t>art. 8 d.lgs.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Default"/>
              <w:jc w:val="center"/>
              <w:rPr>
                <w:rFonts w:ascii="Calibri" w:hAnsi="Calibri"/>
                <w:sz w:val="13"/>
                <w:szCs w:val="13"/>
                <w:lang w:val="en-GB"/>
              </w:rPr>
            </w:pPr>
            <w:r>
              <w:rPr>
                <w:rFonts w:ascii="Calibri" w:hAnsi="Calibri"/>
                <w:sz w:val="13"/>
                <w:szCs w:val="13"/>
                <w:lang w:val="en-GB"/>
              </w:rPr>
              <w:t>Art. 14, c. 1, lett. f), d.lgs. n. 33/2013 Art. 3, l. n. 441/1982</w:t>
            </w:r>
          </w:p>
        </w:tc>
        <w:tc>
          <w:tcPr>
            <w:tcW w:w="2270" w:type="dxa"/>
            <w:vMerge w:val="continue"/>
            <w:tcBorders/>
            <w:vAlign w:val="center"/>
          </w:tcPr>
          <w:p>
            <w:pPr>
              <w:pStyle w:val="Intestazione"/>
              <w:jc w:val="center"/>
              <w:rPr>
                <w:lang w:val="en-GB"/>
              </w:rPr>
            </w:pPr>
            <w:r>
              <w:rPr>
                <w:lang w:val="en-GB"/>
              </w:rPr>
            </w:r>
          </w:p>
        </w:tc>
        <w:tc>
          <w:tcPr>
            <w:tcW w:w="5670" w:type="dxa"/>
            <w:tcBorders/>
            <w:vAlign w:val="center"/>
          </w:tcPr>
          <w:p>
            <w:pPr>
              <w:pStyle w:val="Default"/>
              <w:rPr>
                <w:rFonts w:ascii="Calibri" w:hAnsi="Calibri"/>
                <w:sz w:val="13"/>
                <w:szCs w:val="13"/>
              </w:rPr>
            </w:pPr>
            <w:r>
              <w:rPr>
                <w:rFonts w:ascii="Calibri" w:hAnsi="Calibri"/>
                <w:sz w:val="13"/>
                <w:szCs w:val="13"/>
              </w:rPr>
              <w:t xml:space="preserve">4)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 </w:t>
            </w:r>
          </w:p>
        </w:tc>
        <w:tc>
          <w:tcPr>
            <w:tcW w:w="1163" w:type="dxa"/>
            <w:tcBorders/>
            <w:vAlign w:val="center"/>
          </w:tcPr>
          <w:p>
            <w:pPr>
              <w:pStyle w:val="Intestazione"/>
              <w:jc w:val="center"/>
              <w:rPr/>
            </w:pPr>
            <w:r>
              <w:rPr/>
              <w:t>Annuale</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 a)</w:t>
            </w:r>
          </w:p>
        </w:tc>
        <w:tc>
          <w:tcPr>
            <w:tcW w:w="2270" w:type="dxa"/>
            <w:vMerge w:val="restart"/>
            <w:tcBorders>
              <w:bottom w:val="nil"/>
            </w:tcBorders>
            <w:vAlign w:val="center"/>
          </w:tcPr>
          <w:p>
            <w:pPr>
              <w:pStyle w:val="Intestazione"/>
              <w:jc w:val="both"/>
              <w:rPr/>
            </w:pPr>
            <w:r>
              <w:rPr/>
              <w:t>Cessati dall'incarico</w:t>
            </w:r>
          </w:p>
          <w:p>
            <w:pPr>
              <w:pStyle w:val="Intestazione"/>
              <w:jc w:val="both"/>
              <w:rPr/>
            </w:pPr>
            <w:r>
              <w:rPr/>
              <w:t>(documentazione da pubblicare</w:t>
            </w:r>
          </w:p>
          <w:p>
            <w:pPr>
              <w:pStyle w:val="Intestazione"/>
              <w:jc w:val="both"/>
              <w:rPr/>
            </w:pPr>
            <w:r>
              <w:rPr/>
              <w:t>sul sito web)</w:t>
            </w:r>
          </w:p>
          <w:p>
            <w:pPr>
              <w:pStyle w:val="Intestazione"/>
              <w:jc w:val="both"/>
              <w:rPr/>
            </w:pPr>
            <w:r>
              <w:rPr/>
            </w:r>
          </w:p>
          <w:p>
            <w:pPr>
              <w:pStyle w:val="Intestazione"/>
              <w:jc w:val="both"/>
              <w:rPr>
                <w:i/>
                <w:i/>
              </w:rPr>
            </w:pPr>
            <w:r>
              <w:rPr>
                <w:i/>
              </w:rPr>
              <w:t>continua alla pagina successiva</w:t>
            </w:r>
          </w:p>
        </w:tc>
        <w:tc>
          <w:tcPr>
            <w:tcW w:w="5670" w:type="dxa"/>
            <w:tcBorders/>
            <w:vAlign w:val="center"/>
          </w:tcPr>
          <w:p>
            <w:pPr>
              <w:pStyle w:val="Intestazione"/>
              <w:jc w:val="both"/>
              <w:rPr/>
            </w:pPr>
            <w:r>
              <w:rPr/>
              <w:t>Atto di nomina, con l'indicazione della durata dell'incarico</w:t>
            </w:r>
          </w:p>
        </w:tc>
        <w:tc>
          <w:tcPr>
            <w:tcW w:w="1163" w:type="dxa"/>
            <w:vMerge w:val="restart"/>
            <w:tcBorders/>
            <w:vAlign w:val="center"/>
          </w:tcPr>
          <w:p>
            <w:pPr>
              <w:pStyle w:val="Intestazione"/>
              <w:jc w:val="center"/>
              <w:rPr>
                <w:lang w:val="en-GB"/>
              </w:rPr>
            </w:pPr>
            <w:r>
              <w:rPr>
                <w:lang w:val="en-GB"/>
              </w:rPr>
              <w:t>Tempestivo</w:t>
            </w:r>
          </w:p>
          <w:p>
            <w:pPr>
              <w:pStyle w:val="Intestazione"/>
              <w:jc w:val="center"/>
              <w:rPr/>
            </w:pPr>
            <w:r>
              <w:rPr>
                <w:lang w:val="en-GB"/>
              </w:rPr>
              <w:t>art. 8 - 33/2013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lett.b)</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Curriculum vitae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vMerge w:val="restart"/>
            <w:tcBorders/>
            <w:vAlign w:val="center"/>
          </w:tcPr>
          <w:p>
            <w:pPr>
              <w:pStyle w:val="Intestazione"/>
              <w:jc w:val="center"/>
              <w:rPr>
                <w:lang w:val="en-GB"/>
              </w:rPr>
            </w:pPr>
            <w:r>
              <w:rPr>
                <w:lang w:val="en-GB"/>
              </w:rPr>
              <w:t>art. 14, c. 1, lett. c)</w:t>
            </w:r>
          </w:p>
        </w:tc>
        <w:tc>
          <w:tcPr>
            <w:tcW w:w="2270" w:type="dxa"/>
            <w:vMerge w:val="continue"/>
            <w:tcBorders>
              <w:bottom w:val="nil"/>
            </w:tcBorders>
            <w:vAlign w:val="center"/>
          </w:tcPr>
          <w:p>
            <w:pPr>
              <w:pStyle w:val="Intestazione"/>
              <w:jc w:val="both"/>
              <w:rPr>
                <w:lang w:val="en-GB"/>
              </w:rPr>
            </w:pPr>
            <w:r>
              <w:rPr>
                <w:lang w:val="en-GB"/>
              </w:rPr>
            </w:r>
          </w:p>
        </w:tc>
        <w:tc>
          <w:tcPr>
            <w:tcW w:w="5670" w:type="dxa"/>
            <w:tcBorders/>
            <w:vAlign w:val="center"/>
          </w:tcPr>
          <w:p>
            <w:pPr>
              <w:pStyle w:val="Intestazione"/>
              <w:jc w:val="both"/>
              <w:rPr/>
            </w:pPr>
            <w:r>
              <w:rPr/>
              <w:t>Compensi di qualsiasi natura connessi all'assunzione della carica</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vMerge w:val="continue"/>
            <w:tcBorders/>
            <w:vAlign w:val="center"/>
          </w:tcPr>
          <w:p>
            <w:pPr>
              <w:pStyle w:val="Intestazione"/>
              <w:jc w:val="center"/>
              <w:rPr/>
            </w:pPr>
            <w:r>
              <w:rPr/>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Importi di viaggi di servizio e missioni pagati con fondi pubblici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 d)</w:t>
            </w:r>
          </w:p>
        </w:tc>
        <w:tc>
          <w:tcPr>
            <w:tcW w:w="2270" w:type="dxa"/>
            <w:vMerge w:val="continue"/>
            <w:tcBorders>
              <w:bottom w:val="nil"/>
            </w:tcBorders>
            <w:vAlign w:val="center"/>
          </w:tcPr>
          <w:p>
            <w:pPr>
              <w:pStyle w:val="Intestazione"/>
              <w:jc w:val="both"/>
              <w:rPr>
                <w:lang w:val="en-GB"/>
              </w:rPr>
            </w:pPr>
            <w:r>
              <w:rPr>
                <w:lang w:val="en-GB"/>
              </w:rPr>
            </w:r>
          </w:p>
        </w:tc>
        <w:tc>
          <w:tcPr>
            <w:tcW w:w="5670" w:type="dxa"/>
            <w:tcBorders/>
            <w:vAlign w:val="center"/>
          </w:tcPr>
          <w:p>
            <w:pPr>
              <w:pStyle w:val="Intestazione"/>
              <w:jc w:val="both"/>
              <w:rPr/>
            </w:pPr>
            <w:r>
              <w:rPr/>
              <w:t>Dati relativi all'assunzione di altre cariche, presso enti pubblici o privati, e relativi compensi a qualsiasi titolo corrisposti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pPr>
            <w:r>
              <w:rPr/>
              <w:t>art. 14, c. 1, lett. e)</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Altri eventuali incarichi con  oneri a carico della finanza pubblica e indicazione dei compensi spettanti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2, c. 1, p. 2,</w:t>
            </w:r>
          </w:p>
          <w:p>
            <w:pPr>
              <w:pStyle w:val="Intestazione"/>
              <w:jc w:val="center"/>
              <w:rPr/>
            </w:pPr>
            <w:r>
              <w:rPr>
                <w:lang w:val="en-GB"/>
              </w:rPr>
              <w:t>legge 441/1982</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e riferita al momento dell'assunzione dell'incarico]</w:t>
            </w:r>
          </w:p>
        </w:tc>
        <w:tc>
          <w:tcPr>
            <w:tcW w:w="1163" w:type="dxa"/>
            <w:vMerge w:val="restart"/>
            <w:tcBorders/>
            <w:vAlign w:val="center"/>
          </w:tcPr>
          <w:p>
            <w:pPr>
              <w:pStyle w:val="Intestazione"/>
              <w:jc w:val="center"/>
              <w:rPr/>
            </w:pPr>
            <w:r>
              <w:rPr/>
              <w:t>Nessuno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2, c. 1, p. 2,</w:t>
            </w:r>
          </w:p>
          <w:p>
            <w:pPr>
              <w:pStyle w:val="Intestazione"/>
              <w:jc w:val="center"/>
              <w:rPr/>
            </w:pPr>
            <w:r>
              <w:rPr>
                <w:lang w:val="en-GB"/>
              </w:rPr>
              <w:t>legge 441/1982</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2)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GB"/>
              </w:rPr>
            </w:pPr>
            <w:r>
              <w:rPr>
                <w:lang w:val="en-GB"/>
              </w:rPr>
              <w:t>art. 2, c. 1, p. 3,</w:t>
            </w:r>
          </w:p>
          <w:p>
            <w:pPr>
              <w:pStyle w:val="Intestazione"/>
              <w:jc w:val="center"/>
              <w:rPr/>
            </w:pPr>
            <w:r>
              <w:rPr>
                <w:lang w:val="en-GB"/>
              </w:rPr>
              <w:t>legge 441/1982</w:t>
            </w:r>
          </w:p>
        </w:tc>
        <w:tc>
          <w:tcPr>
            <w:tcW w:w="2270" w:type="dxa"/>
            <w:vMerge w:val="continue"/>
            <w:tcBorders>
              <w:bottom w:val="nil"/>
            </w:tcBorders>
            <w:vAlign w:val="center"/>
          </w:tcPr>
          <w:p>
            <w:pPr>
              <w:pStyle w:val="Intestazione"/>
              <w:jc w:val="both"/>
              <w:rPr/>
            </w:pPr>
            <w:r>
              <w:rPr/>
            </w:r>
          </w:p>
        </w:tc>
        <w:tc>
          <w:tcPr>
            <w:tcW w:w="5670" w:type="dxa"/>
            <w:tcBorders/>
            <w:vAlign w:val="center"/>
          </w:tcPr>
          <w:p>
            <w:pPr>
              <w:pStyle w:val="Intestazione"/>
              <w:jc w:val="both"/>
              <w:rPr/>
            </w:pPr>
            <w:r>
              <w:rPr/>
              <w:t>3)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w:t>
            </w:r>
          </w:p>
          <w:p>
            <w:pPr>
              <w:pStyle w:val="Intestazione"/>
              <w:jc w:val="both"/>
              <w:rPr/>
            </w:pPr>
            <w:r>
              <w:rPr/>
              <w:t xml:space="preserve"> </w:t>
            </w:r>
            <w:r>
              <w:rPr/>
              <w:t>copie delle dichiarazioni relative a finanziamenti e contributi per un importo che nell'anno superi 5.000 €.</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14, c. 1, lett.f);</w:t>
            </w:r>
          </w:p>
          <w:p>
            <w:pPr>
              <w:pStyle w:val="Intestazione"/>
              <w:jc w:val="center"/>
              <w:rPr>
                <w:lang w:val="en-US"/>
              </w:rPr>
            </w:pPr>
            <w:r>
              <w:rPr>
                <w:lang w:val="en-GB"/>
              </w:rPr>
              <w:t>art. 3 legge 441/1982</w:t>
            </w:r>
          </w:p>
        </w:tc>
        <w:tc>
          <w:tcPr>
            <w:tcW w:w="2270" w:type="dxa"/>
            <w:tcBorders/>
            <w:vAlign w:val="center"/>
          </w:tcPr>
          <w:p>
            <w:pPr>
              <w:pStyle w:val="Intestazione"/>
              <w:jc w:val="both"/>
              <w:rPr>
                <w:lang w:val="en-US"/>
              </w:rPr>
            </w:pPr>
            <w:r>
              <w:rPr>
                <w:lang w:val="en-US"/>
              </w:rPr>
            </w:r>
          </w:p>
        </w:tc>
        <w:tc>
          <w:tcPr>
            <w:tcW w:w="5670" w:type="dxa"/>
            <w:tcBorders/>
            <w:vAlign w:val="center"/>
          </w:tcPr>
          <w:p>
            <w:pPr>
              <w:pStyle w:val="Intestazione"/>
              <w:rPr/>
            </w:pPr>
            <w:r>
              <w:rPr/>
              <w:t>4)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w:t>
            </w:r>
          </w:p>
        </w:tc>
        <w:tc>
          <w:tcPr>
            <w:tcW w:w="1163" w:type="dxa"/>
            <w:tcBorders/>
            <w:vAlign w:val="center"/>
          </w:tcPr>
          <w:p>
            <w:pPr>
              <w:pStyle w:val="Intestazione"/>
              <w:jc w:val="center"/>
              <w:rPr/>
            </w:pPr>
            <w:r>
              <w:rPr/>
              <w:t>Nessuno</w:t>
            </w:r>
          </w:p>
          <w:p>
            <w:pPr>
              <w:pStyle w:val="Intestazione"/>
              <w:jc w:val="center"/>
              <w:rPr/>
            </w:pPr>
            <w:r>
              <w:rPr/>
              <w:t>(va presentata una sola volta entro 3 mesi dalla cessazione dell'incarico)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rFonts w:eastAsiaTheme="minorEastAsia"/>
              </w:rPr>
            </w:pPr>
            <w:r>
              <w:rPr>
                <w:rFonts w:eastAsiaTheme="minorEastAsia"/>
                <w:w w:val="125"/>
              </w:rPr>
              <w:t>Art.</w:t>
            </w:r>
            <w:r>
              <w:rPr>
                <w:rFonts w:eastAsiaTheme="minorEastAsia"/>
                <w:spacing w:val="26"/>
                <w:w w:val="125"/>
              </w:rPr>
              <w:t xml:space="preserve"> </w:t>
            </w:r>
            <w:r>
              <w:rPr>
                <w:rFonts w:eastAsiaTheme="minorEastAsia"/>
                <w:w w:val="125"/>
              </w:rPr>
              <w:t>4,</w:t>
            </w:r>
            <w:r>
              <w:rPr>
                <w:rFonts w:eastAsiaTheme="minorEastAsia"/>
                <w:spacing w:val="24"/>
                <w:w w:val="125"/>
              </w:rPr>
              <w:t xml:space="preserve"> </w:t>
            </w:r>
            <w:r>
              <w:rPr>
                <w:rFonts w:eastAsiaTheme="minorEastAsia"/>
                <w:w w:val="125"/>
              </w:rPr>
              <w:t>c.</w:t>
            </w:r>
            <w:r>
              <w:rPr>
                <w:rFonts w:eastAsiaTheme="minorEastAsia"/>
                <w:spacing w:val="27"/>
                <w:w w:val="125"/>
              </w:rPr>
              <w:t xml:space="preserve"> </w:t>
            </w:r>
            <w:r>
              <w:rPr>
                <w:rFonts w:eastAsiaTheme="minorEastAsia"/>
                <w:w w:val="125"/>
              </w:rPr>
              <w:t>2</w:t>
            </w:r>
            <w:r>
              <w:rPr>
                <w:rFonts w:eastAsiaTheme="minorEastAsia"/>
                <w:spacing w:val="28"/>
                <w:w w:val="125"/>
              </w:rPr>
              <w:t xml:space="preserve"> </w:t>
            </w:r>
            <w:r>
              <w:rPr>
                <w:rFonts w:eastAsiaTheme="minorEastAsia"/>
                <w:w w:val="125"/>
              </w:rPr>
              <w:t>e</w:t>
            </w:r>
            <w:r>
              <w:rPr>
                <w:rFonts w:eastAsiaTheme="minorEastAsia"/>
                <w:spacing w:val="24"/>
                <w:w w:val="125"/>
              </w:rPr>
              <w:t xml:space="preserve"> </w:t>
            </w:r>
            <w:r>
              <w:rPr>
                <w:rFonts w:eastAsiaTheme="minorEastAsia"/>
                <w:w w:val="125"/>
              </w:rPr>
              <w:t>3,</w:t>
            </w:r>
            <w:r>
              <w:rPr>
                <w:rFonts w:eastAsiaTheme="minorEastAsia"/>
                <w:spacing w:val="25"/>
                <w:w w:val="125"/>
              </w:rPr>
              <w:t xml:space="preserve"> </w:t>
            </w:r>
            <w:r>
              <w:rPr>
                <w:rFonts w:eastAsiaTheme="minorEastAsia"/>
                <w:w w:val="125"/>
              </w:rPr>
              <w:t>D.lgs.</w:t>
            </w:r>
            <w:r>
              <w:rPr>
                <w:rFonts w:eastAsiaTheme="minorEastAsia"/>
                <w:spacing w:val="30"/>
                <w:w w:val="125"/>
              </w:rPr>
              <w:t xml:space="preserve"> </w:t>
            </w:r>
            <w:r>
              <w:rPr>
                <w:rFonts w:eastAsiaTheme="minorEastAsia"/>
                <w:spacing w:val="-47"/>
                <w:w w:val="125"/>
              </w:rPr>
              <w:t xml:space="preserve"> </w:t>
            </w:r>
            <w:r>
              <w:rPr>
                <w:rFonts w:eastAsiaTheme="minorEastAsia"/>
                <w:w w:val="125"/>
              </w:rPr>
              <w:t>149/2011</w:t>
            </w:r>
          </w:p>
        </w:tc>
        <w:tc>
          <w:tcPr>
            <w:tcW w:w="2270" w:type="dxa"/>
            <w:tcBorders/>
            <w:vAlign w:val="center"/>
          </w:tcPr>
          <w:p>
            <w:pPr>
              <w:pStyle w:val="Intestazione"/>
              <w:jc w:val="both"/>
              <w:rPr>
                <w:lang w:val="en-US"/>
              </w:rPr>
            </w:pPr>
            <w:r>
              <w:rPr>
                <w:lang w:val="en-US"/>
              </w:rPr>
              <w:t>Relazione di fine mandato del Sindaco</w:t>
            </w:r>
          </w:p>
        </w:tc>
        <w:tc>
          <w:tcPr>
            <w:tcW w:w="5670" w:type="dxa"/>
            <w:tcBorders/>
            <w:vAlign w:val="center"/>
          </w:tcPr>
          <w:p>
            <w:pPr>
              <w:pStyle w:val="Intestazione"/>
              <w:rPr/>
            </w:pPr>
            <w:r>
              <w:rPr/>
              <w:t>Relazione di fine mandato del Sindaco</w:t>
            </w:r>
          </w:p>
        </w:tc>
        <w:tc>
          <w:tcPr>
            <w:tcW w:w="1163" w:type="dxa"/>
            <w:tcBorders/>
            <w:vAlign w:val="center"/>
          </w:tcPr>
          <w:p>
            <w:pPr>
              <w:pStyle w:val="Intestazione"/>
              <w:jc w:val="center"/>
              <w:rPr/>
            </w:pPr>
            <w:r>
              <w:rPr/>
              <w:t>Tempestivo</w:t>
            </w:r>
          </w:p>
        </w:tc>
        <w:tc>
          <w:tcPr>
            <w:tcW w:w="1276"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w w:val="125"/>
              </w:rPr>
            </w:pPr>
            <w:r>
              <w:rPr>
                <w:w w:val="125"/>
              </w:rPr>
              <w:t>Art.</w:t>
            </w:r>
            <w:r>
              <w:rPr>
                <w:spacing w:val="26"/>
                <w:w w:val="125"/>
              </w:rPr>
              <w:t xml:space="preserve"> </w:t>
            </w:r>
            <w:r>
              <w:rPr>
                <w:w w:val="125"/>
              </w:rPr>
              <w:t>4-bis</w:t>
            </w:r>
          </w:p>
          <w:p>
            <w:pPr>
              <w:pStyle w:val="Intestazione"/>
              <w:jc w:val="center"/>
              <w:rPr>
                <w:lang w:val="en-GB"/>
              </w:rPr>
            </w:pPr>
            <w:r>
              <w:rPr>
                <w:w w:val="125"/>
              </w:rPr>
              <w:t>D.lgs.</w:t>
            </w:r>
            <w:r>
              <w:rPr>
                <w:spacing w:val="30"/>
                <w:w w:val="125"/>
              </w:rPr>
              <w:t xml:space="preserve"> </w:t>
            </w:r>
            <w:r>
              <w:rPr>
                <w:spacing w:val="-47"/>
                <w:w w:val="125"/>
              </w:rPr>
              <w:t xml:space="preserve"> </w:t>
            </w:r>
            <w:r>
              <w:rPr>
                <w:w w:val="125"/>
              </w:rPr>
              <w:t>149/2011</w:t>
            </w:r>
          </w:p>
        </w:tc>
        <w:tc>
          <w:tcPr>
            <w:tcW w:w="2270" w:type="dxa"/>
            <w:tcBorders/>
            <w:vAlign w:val="center"/>
          </w:tcPr>
          <w:p>
            <w:pPr>
              <w:pStyle w:val="Intestazione"/>
              <w:jc w:val="both"/>
              <w:rPr>
                <w:lang w:val="en-US"/>
              </w:rPr>
            </w:pPr>
            <w:r>
              <w:rPr>
                <w:lang w:val="en-US"/>
              </w:rPr>
              <w:t>Relazione di inizio mandato del Sindaco</w:t>
            </w:r>
          </w:p>
        </w:tc>
        <w:tc>
          <w:tcPr>
            <w:tcW w:w="5670" w:type="dxa"/>
            <w:tcBorders/>
            <w:vAlign w:val="center"/>
          </w:tcPr>
          <w:p>
            <w:pPr>
              <w:pStyle w:val="Intestazione"/>
              <w:rPr/>
            </w:pPr>
            <w:r>
              <w:rPr/>
              <w:t>Relazione di inizio mandato del Sindaco</w:t>
            </w:r>
          </w:p>
        </w:tc>
        <w:tc>
          <w:tcPr>
            <w:tcW w:w="1163" w:type="dxa"/>
            <w:tcBorders/>
            <w:vAlign w:val="center"/>
          </w:tcPr>
          <w:p>
            <w:pPr>
              <w:pStyle w:val="Intestazione"/>
              <w:jc w:val="center"/>
              <w:rPr/>
            </w:pPr>
            <w:r>
              <w:rPr/>
              <w:t>Tempestivo</w:t>
            </w:r>
          </w:p>
        </w:tc>
        <w:tc>
          <w:tcPr>
            <w:tcW w:w="1276"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w w:val="125"/>
              </w:rPr>
            </w:pPr>
            <w:r>
              <w:rPr>
                <w:w w:val="125"/>
              </w:rPr>
              <w:t>Art. 142, c. 12-quater, D.Lgs. n.285/1992</w:t>
            </w:r>
          </w:p>
        </w:tc>
        <w:tc>
          <w:tcPr>
            <w:tcW w:w="2270" w:type="dxa"/>
            <w:tcBorders/>
            <w:vAlign w:val="center"/>
          </w:tcPr>
          <w:p>
            <w:pPr>
              <w:pStyle w:val="Intestazione"/>
              <w:jc w:val="both"/>
              <w:rPr>
                <w:lang w:val="en-US"/>
              </w:rPr>
            </w:pPr>
            <w:r>
              <w:rPr>
                <w:lang w:val="en-US"/>
              </w:rPr>
              <w:t>Pubblicazione della relazione, in cui sono indicati, con riferimento all’anno precedente, l’ammontare complessivo dei proventi ex art. 208, c.1., e art. 12-bis D.Lgs. n. 285/!992, come risultante dal rendiconto approvato nel medesimo anno, e gli interventi realizzati a valere su tali risorse, con la specificazione degli oneri sostenuti per ciascun intervento.</w:t>
            </w:r>
          </w:p>
        </w:tc>
        <w:tc>
          <w:tcPr>
            <w:tcW w:w="5670" w:type="dxa"/>
            <w:tcBorders/>
            <w:vAlign w:val="center"/>
          </w:tcPr>
          <w:p>
            <w:pPr>
              <w:pStyle w:val="Intestazione"/>
              <w:rPr/>
            </w:pPr>
            <w:r>
              <w:rPr>
                <w:lang w:val="en-US"/>
              </w:rPr>
              <w:t>Pubblicazione della relazione, in cui sono indicati, con riferimento all’anno precedente, l’ammontare complessivo dei proventi ex art. 208, c.1., e art. 12-bis D.Lgs. n. 285/!992, come risultante dal rendiconto approvato nel medesimo anno, e gli interventi realizzati a valere su tali risorse, con la specificazione degli oneri sostenuti per ciascun intervento.</w:t>
            </w:r>
          </w:p>
        </w:tc>
        <w:tc>
          <w:tcPr>
            <w:tcW w:w="1163" w:type="dxa"/>
            <w:tcBorders/>
            <w:vAlign w:val="center"/>
          </w:tcPr>
          <w:p>
            <w:pPr>
              <w:pStyle w:val="Intestazione"/>
              <w:jc w:val="center"/>
              <w:rPr/>
            </w:pPr>
            <w:r>
              <w:rPr/>
              <w:t>Entro 30 giorni dalla data - 31 maggio di ogni anno - di invio informatico al M.Infrastrutture-Trasporti e al M. Interno</w:t>
            </w:r>
          </w:p>
        </w:tc>
        <w:tc>
          <w:tcPr>
            <w:tcW w:w="1276"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Intestazione"/>
              <w:jc w:val="center"/>
              <w:rPr>
                <w:b/>
                <w:b/>
              </w:rPr>
            </w:pPr>
            <w:r>
              <w:rPr>
                <w:b/>
              </w:rPr>
              <w:t>Sanzioni per mancata comunicazione dei dati</w:t>
            </w:r>
          </w:p>
        </w:tc>
        <w:tc>
          <w:tcPr>
            <w:tcW w:w="1132" w:type="dxa"/>
            <w:tcBorders/>
            <w:vAlign w:val="center"/>
          </w:tcPr>
          <w:p>
            <w:pPr>
              <w:pStyle w:val="Intestazione"/>
              <w:jc w:val="center"/>
              <w:rPr/>
            </w:pPr>
            <w:r>
              <w:rPr/>
              <w:t>art. 47, c. 1</w:t>
            </w:r>
          </w:p>
        </w:tc>
        <w:tc>
          <w:tcPr>
            <w:tcW w:w="2270" w:type="dxa"/>
            <w:tcBorders/>
            <w:vAlign w:val="center"/>
          </w:tcPr>
          <w:p>
            <w:pPr>
              <w:pStyle w:val="Intestazione"/>
              <w:rPr/>
            </w:pPr>
            <w:r>
              <w:rPr/>
              <w:t>Sanzioni per mancata o incompleta comunicazione dei dati da parte dei titolari di incarichi politici, di amministrazione, di direzione o di governo</w:t>
            </w:r>
          </w:p>
        </w:tc>
        <w:tc>
          <w:tcPr>
            <w:tcW w:w="5670" w:type="dxa"/>
            <w:tcBorders/>
            <w:vAlign w:val="center"/>
          </w:tcPr>
          <w:p>
            <w:pPr>
              <w:pStyle w:val="Intestazione"/>
              <w:rPr/>
            </w:pPr>
            <w:r>
              <w:rPr/>
              <w:t>Provvedimenti sanzionatori a carico del responsabile della mancata o incompleta comunicazione dei dati di cui all'articolo 14, concernenti la situazione patrimoniale complessiva del titolare dell'incarico al momento dell'assunzione della carica, la titolarità di imprese, le partecipazioni azionarie proprie nonchè tutti i compensi cui dà diritto l'assunzione della carica</w:t>
            </w:r>
          </w:p>
        </w:tc>
        <w:tc>
          <w:tcPr>
            <w:tcW w:w="1163" w:type="dxa"/>
            <w:vMerge w:val="restart"/>
            <w:tcBorders/>
            <w:vAlign w:val="center"/>
          </w:tcPr>
          <w:p>
            <w:pPr>
              <w:pStyle w:val="Intestazione"/>
              <w:jc w:val="center"/>
              <w:rPr/>
            </w:pPr>
            <w:r>
              <w:rPr/>
              <w:t>Tempestivo</w:t>
            </w:r>
          </w:p>
          <w:p>
            <w:pPr>
              <w:pStyle w:val="Intestazione"/>
              <w:jc w:val="center"/>
              <w:rPr/>
            </w:pPr>
            <w:r>
              <w:rPr/>
              <w:t>art. 8 d.lgs.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Rendiconti</w:t>
            </w:r>
          </w:p>
          <w:p>
            <w:pPr>
              <w:pStyle w:val="Intestazione"/>
              <w:jc w:val="center"/>
              <w:rPr>
                <w:b/>
                <w:b/>
              </w:rPr>
            </w:pPr>
            <w:r>
              <w:rPr>
                <w:b/>
              </w:rPr>
              <w:t>gruppi consiliari</w:t>
            </w:r>
          </w:p>
          <w:p>
            <w:pPr>
              <w:pStyle w:val="Intestazione"/>
              <w:jc w:val="center"/>
              <w:rPr>
                <w:b/>
                <w:b/>
              </w:rPr>
            </w:pPr>
            <w:r>
              <w:rPr>
                <w:b/>
              </w:rPr>
              <w:t>regionali/provinciali</w:t>
            </w:r>
          </w:p>
        </w:tc>
        <w:tc>
          <w:tcPr>
            <w:tcW w:w="1132" w:type="dxa"/>
            <w:tcBorders/>
            <w:vAlign w:val="center"/>
          </w:tcPr>
          <w:p>
            <w:pPr>
              <w:pStyle w:val="Intestazione"/>
              <w:jc w:val="center"/>
              <w:rPr/>
            </w:pPr>
            <w:r>
              <w:rPr/>
              <w:t>art. 28, c. 1</w:t>
            </w:r>
          </w:p>
        </w:tc>
        <w:tc>
          <w:tcPr>
            <w:tcW w:w="2270" w:type="dxa"/>
            <w:tcBorders/>
            <w:vAlign w:val="center"/>
          </w:tcPr>
          <w:p>
            <w:pPr>
              <w:pStyle w:val="Intestazione"/>
              <w:rPr/>
            </w:pPr>
            <w:r>
              <w:rPr/>
              <w:t>Rendiconti gruppi consiliari</w:t>
            </w:r>
          </w:p>
          <w:p>
            <w:pPr>
              <w:pStyle w:val="Intestazione"/>
              <w:rPr/>
            </w:pPr>
            <w:r>
              <w:rPr/>
              <w:t>regionali/provinciali</w:t>
            </w:r>
          </w:p>
        </w:tc>
        <w:tc>
          <w:tcPr>
            <w:tcW w:w="5670" w:type="dxa"/>
            <w:tcBorders/>
            <w:vAlign w:val="center"/>
          </w:tcPr>
          <w:p>
            <w:pPr>
              <w:pStyle w:val="Intestazione"/>
              <w:rPr/>
            </w:pPr>
            <w:r>
              <w:rPr/>
              <w:t>Rendiconti di esercizio annuale dei gruppi consiliari regionali e provinciali, con evidenza delle risorse trasferite o assegnate a ciascun gruppo, con indicazione del titolo di trasferimento e dell'impiego delle risorse utilizzate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pPr>
            <w:r>
              <w:rPr/>
            </w:r>
          </w:p>
        </w:tc>
        <w:tc>
          <w:tcPr>
            <w:tcW w:w="2270" w:type="dxa"/>
            <w:tcBorders/>
            <w:vAlign w:val="center"/>
          </w:tcPr>
          <w:p>
            <w:pPr>
              <w:pStyle w:val="Intestazione"/>
              <w:rPr/>
            </w:pPr>
            <w:r>
              <w:rPr/>
              <w:t>Atti degli organi di controllo</w:t>
            </w:r>
          </w:p>
        </w:tc>
        <w:tc>
          <w:tcPr>
            <w:tcW w:w="5670" w:type="dxa"/>
            <w:tcBorders/>
            <w:vAlign w:val="center"/>
          </w:tcPr>
          <w:p>
            <w:pPr>
              <w:pStyle w:val="Intestazione"/>
              <w:rPr/>
            </w:pPr>
            <w:r>
              <w:rPr/>
              <w:t>Atti e relazioni degli organi di controllo</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restart"/>
            <w:tcBorders/>
            <w:vAlign w:val="center"/>
          </w:tcPr>
          <w:p>
            <w:pPr>
              <w:pStyle w:val="Intestazione"/>
              <w:jc w:val="center"/>
              <w:rPr>
                <w:rFonts w:ascii="Berlin Sans FB Demi" w:hAnsi="Berlin Sans FB Demi"/>
              </w:rPr>
            </w:pPr>
            <w:r>
              <w:rPr>
                <w:rFonts w:ascii="Berlin Sans FB Demi" w:hAnsi="Berlin Sans FB Demi"/>
              </w:rPr>
              <w:t>Organizzazione</w:t>
            </w:r>
          </w:p>
        </w:tc>
        <w:tc>
          <w:tcPr>
            <w:tcW w:w="1701" w:type="dxa"/>
            <w:vMerge w:val="restart"/>
            <w:tcBorders/>
            <w:vAlign w:val="center"/>
          </w:tcPr>
          <w:p>
            <w:pPr>
              <w:pStyle w:val="Intestazione"/>
              <w:jc w:val="center"/>
              <w:rPr>
                <w:b/>
                <w:b/>
                <w:lang w:val="en-GB"/>
              </w:rPr>
            </w:pPr>
            <w:r>
              <w:rPr>
                <w:b/>
                <w:lang w:val="en-GB"/>
              </w:rPr>
              <w:t>Articolazione degli uffici</w:t>
            </w:r>
          </w:p>
        </w:tc>
        <w:tc>
          <w:tcPr>
            <w:tcW w:w="1132" w:type="dxa"/>
            <w:tcBorders/>
            <w:vAlign w:val="center"/>
          </w:tcPr>
          <w:p>
            <w:pPr>
              <w:pStyle w:val="Intestazione"/>
              <w:jc w:val="center"/>
              <w:rPr>
                <w:lang w:val="en-GB"/>
              </w:rPr>
            </w:pPr>
            <w:r>
              <w:rPr>
                <w:lang w:val="en-GB"/>
              </w:rPr>
              <w:t>art. 13, c. 1, lett. b)</w:t>
            </w:r>
          </w:p>
        </w:tc>
        <w:tc>
          <w:tcPr>
            <w:tcW w:w="2270" w:type="dxa"/>
            <w:tcBorders/>
            <w:vAlign w:val="center"/>
          </w:tcPr>
          <w:p>
            <w:pPr>
              <w:pStyle w:val="Intestazione"/>
              <w:rPr>
                <w:lang w:val="en-GB"/>
              </w:rPr>
            </w:pPr>
            <w:r>
              <w:rPr>
                <w:lang w:val="en-GB"/>
              </w:rPr>
              <w:t>Articolazione degli uffici</w:t>
            </w:r>
          </w:p>
        </w:tc>
        <w:tc>
          <w:tcPr>
            <w:tcW w:w="5670" w:type="dxa"/>
            <w:tcBorders/>
            <w:vAlign w:val="center"/>
          </w:tcPr>
          <w:p>
            <w:pPr>
              <w:pStyle w:val="Intestazione"/>
              <w:rPr/>
            </w:pPr>
            <w:r>
              <w:rPr/>
              <w:t>Indicazione delle competenze di ciascun ufficio, anche di livello dirigenziale non generale, i nomi dei dirigenti responsabili dei singoli uffici</w:t>
            </w:r>
          </w:p>
        </w:tc>
        <w:tc>
          <w:tcPr>
            <w:tcW w:w="1163" w:type="dxa"/>
            <w:vMerge w:val="restart"/>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13, c. 1, lett. c)</w:t>
            </w:r>
          </w:p>
        </w:tc>
        <w:tc>
          <w:tcPr>
            <w:tcW w:w="2270" w:type="dxa"/>
            <w:vMerge w:val="restart"/>
            <w:tcBorders/>
            <w:vAlign w:val="center"/>
          </w:tcPr>
          <w:p>
            <w:pPr>
              <w:pStyle w:val="Intestazione"/>
              <w:rPr/>
            </w:pPr>
            <w:r>
              <w:rPr/>
              <w:t>Organigramma</w:t>
            </w:r>
          </w:p>
          <w:p>
            <w:pPr>
              <w:pStyle w:val="Intestazione"/>
              <w:rPr/>
            </w:pPr>
            <w:r>
              <w:rPr/>
              <w:t>(da pubblicare sotto forma di</w:t>
            </w:r>
          </w:p>
          <w:p>
            <w:pPr>
              <w:pStyle w:val="Intestazione"/>
              <w:rPr/>
            </w:pPr>
            <w:r>
              <w:rPr/>
              <w:t>organigramma, in modo tale che a ciascun ufficio sia assegnato un link ad una pagina contenente tutte le informazioni previste dalla norma)</w:t>
            </w:r>
          </w:p>
        </w:tc>
        <w:tc>
          <w:tcPr>
            <w:tcW w:w="5670" w:type="dxa"/>
            <w:tcBorders/>
            <w:vAlign w:val="center"/>
          </w:tcPr>
          <w:p>
            <w:pPr>
              <w:pStyle w:val="Intestazione"/>
              <w:rPr/>
            </w:pPr>
            <w:r>
              <w:rPr/>
              <w:t>Illustrazione in forma semplificata, ai fini della piena accessibilità e comprensibilità dei dati, dell'organizzazione dell'amministrazione, mediante l'organigramma o analoghe rappresentazioni grafiche</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2" w:type="dxa"/>
            <w:tcBorders/>
            <w:vAlign w:val="center"/>
          </w:tcPr>
          <w:p>
            <w:pPr>
              <w:pStyle w:val="Intestazione"/>
              <w:jc w:val="center"/>
              <w:rPr>
                <w:lang w:val="en-GB"/>
              </w:rPr>
            </w:pPr>
            <w:r>
              <w:rPr>
                <w:lang w:val="en-GB"/>
              </w:rPr>
              <w:t>art. 13, c. 1, lett. b)</w:t>
            </w:r>
          </w:p>
        </w:tc>
        <w:tc>
          <w:tcPr>
            <w:tcW w:w="2270"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Nomi dei dirigenti responsabili dei singoli uffici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Intestazione"/>
              <w:jc w:val="center"/>
              <w:rPr>
                <w:b/>
                <w:b/>
                <w:lang w:val="en-GB"/>
              </w:rPr>
            </w:pPr>
            <w:r>
              <w:rPr>
                <w:b/>
                <w:lang w:val="en-GB"/>
              </w:rPr>
              <w:t>Telefono e posta eletronica</w:t>
            </w:r>
          </w:p>
        </w:tc>
        <w:tc>
          <w:tcPr>
            <w:tcW w:w="1132" w:type="dxa"/>
            <w:tcBorders/>
            <w:vAlign w:val="center"/>
          </w:tcPr>
          <w:p>
            <w:pPr>
              <w:pStyle w:val="Intestazione"/>
              <w:jc w:val="center"/>
              <w:rPr>
                <w:lang w:val="en-GB"/>
              </w:rPr>
            </w:pPr>
            <w:r>
              <w:rPr>
                <w:lang w:val="en-GB"/>
              </w:rPr>
              <w:t>art. 13, c. 1, lett. d)</w:t>
            </w:r>
          </w:p>
        </w:tc>
        <w:tc>
          <w:tcPr>
            <w:tcW w:w="2270" w:type="dxa"/>
            <w:tcBorders/>
            <w:vAlign w:val="center"/>
          </w:tcPr>
          <w:p>
            <w:pPr>
              <w:pStyle w:val="Intestazione"/>
              <w:rPr>
                <w:lang w:val="en-GB"/>
              </w:rPr>
            </w:pPr>
            <w:r>
              <w:rPr>
                <w:lang w:val="en-GB"/>
              </w:rPr>
              <w:t>Telefono e posta elettronica</w:t>
            </w:r>
          </w:p>
        </w:tc>
        <w:tc>
          <w:tcPr>
            <w:tcW w:w="5670" w:type="dxa"/>
            <w:tcBorders/>
            <w:vAlign w:val="center"/>
          </w:tcPr>
          <w:p>
            <w:pPr>
              <w:pStyle w:val="Intestazione"/>
              <w:rPr/>
            </w:pPr>
            <w:r>
              <w:rPr/>
              <w:t>Elenco completo dei numeri di telefono e delle caselle di posta elettronica istituzionali e delle caselle di posta elettronica certificata dedicate, cui il cittadino possa rivolgersi per qualsiasi richiesta inerente i compiti istituzionali</w:t>
            </w:r>
          </w:p>
        </w:tc>
        <w:tc>
          <w:tcPr>
            <w:tcW w:w="1163" w:type="dxa"/>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479"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0"/>
        <w:gridCol w:w="1134"/>
        <w:gridCol w:w="2268"/>
        <w:gridCol w:w="5671"/>
        <w:gridCol w:w="1163"/>
        <w:gridCol w:w="1135"/>
        <w:gridCol w:w="1272"/>
      </w:tblGrid>
      <w:tr>
        <w:trPr/>
        <w:tc>
          <w:tcPr>
            <w:tcW w:w="1134" w:type="dxa"/>
            <w:vMerge w:val="restart"/>
            <w:tcBorders/>
            <w:vAlign w:val="center"/>
          </w:tcPr>
          <w:p>
            <w:pPr>
              <w:pStyle w:val="Intestazione"/>
              <w:jc w:val="center"/>
              <w:rPr>
                <w:rFonts w:ascii="Berlin Sans FB Demi" w:hAnsi="Berlin Sans FB Demi"/>
                <w:b/>
                <w:b/>
                <w:lang w:val="en-GB"/>
              </w:rPr>
            </w:pPr>
            <w:r>
              <w:rPr>
                <w:rFonts w:ascii="Berlin Sans FB Demi" w:hAnsi="Berlin Sans FB Demi"/>
                <w:b/>
                <w:lang w:val="en-GB"/>
              </w:rPr>
              <w:t>Consulenti e collaboratori</w:t>
            </w:r>
          </w:p>
        </w:tc>
        <w:tc>
          <w:tcPr>
            <w:tcW w:w="1700" w:type="dxa"/>
            <w:vMerge w:val="restart"/>
            <w:tcBorders/>
            <w:vAlign w:val="center"/>
          </w:tcPr>
          <w:p>
            <w:pPr>
              <w:pStyle w:val="Intestazione"/>
              <w:jc w:val="center"/>
              <w:rPr>
                <w:b/>
                <w:b/>
              </w:rPr>
            </w:pPr>
            <w:r>
              <w:rPr>
                <w:b/>
              </w:rPr>
              <w:t>Titolari di incarichi di</w:t>
            </w:r>
          </w:p>
          <w:p>
            <w:pPr>
              <w:pStyle w:val="Intestazione"/>
              <w:jc w:val="center"/>
              <w:rPr>
                <w:b/>
                <w:b/>
              </w:rPr>
            </w:pPr>
            <w:r>
              <w:rPr>
                <w:b/>
              </w:rPr>
              <w:t>collaborazione o</w:t>
            </w:r>
          </w:p>
          <w:p>
            <w:pPr>
              <w:pStyle w:val="Intestazione"/>
              <w:jc w:val="center"/>
              <w:rPr>
                <w:b/>
                <w:b/>
              </w:rPr>
            </w:pPr>
            <w:r>
              <w:rPr>
                <w:b/>
              </w:rPr>
              <w:t>consulenza</w:t>
            </w:r>
          </w:p>
        </w:tc>
        <w:tc>
          <w:tcPr>
            <w:tcW w:w="1134" w:type="dxa"/>
            <w:tcBorders/>
            <w:vAlign w:val="center"/>
          </w:tcPr>
          <w:p>
            <w:pPr>
              <w:pStyle w:val="Intestazione"/>
              <w:jc w:val="center"/>
              <w:rPr/>
            </w:pPr>
            <w:r>
              <w:rPr/>
              <w:t>art. 15, c. 2</w:t>
            </w:r>
          </w:p>
        </w:tc>
        <w:tc>
          <w:tcPr>
            <w:tcW w:w="2268" w:type="dxa"/>
            <w:vMerge w:val="restart"/>
            <w:tcBorders/>
            <w:vAlign w:val="center"/>
          </w:tcPr>
          <w:p>
            <w:pPr>
              <w:pStyle w:val="Intestazione"/>
              <w:rPr/>
            </w:pPr>
            <w:r>
              <w:rPr/>
              <w:t>Consulenti e collaboratori</w:t>
            </w:r>
          </w:p>
          <w:p>
            <w:pPr>
              <w:pStyle w:val="Intestazione"/>
              <w:rPr/>
            </w:pPr>
            <w:r>
              <w:rPr/>
            </w:r>
          </w:p>
          <w:p>
            <w:pPr>
              <w:pStyle w:val="Intestazione"/>
              <w:rPr/>
            </w:pPr>
            <w:r>
              <w:rPr/>
              <w:t>(da pubblicare in tabelle)</w:t>
            </w:r>
          </w:p>
        </w:tc>
        <w:tc>
          <w:tcPr>
            <w:tcW w:w="5671" w:type="dxa"/>
            <w:tcBorders/>
            <w:vAlign w:val="center"/>
          </w:tcPr>
          <w:p>
            <w:pPr>
              <w:pStyle w:val="Intestazione"/>
              <w:rPr/>
            </w:pPr>
            <w:r>
              <w:rPr/>
              <w:t>Estremi degli atti di conferimento di incarichi di collaborazione o di consulenza a soggetti esterni a qualsiasi titolo (compresi quelli affidati con contratto di collaborazione coordinata e continuativa) con indicazione dei soggetti percettori, della ragione dell'incarico e dell'ammontare erogato</w:t>
            </w:r>
          </w:p>
        </w:tc>
        <w:tc>
          <w:tcPr>
            <w:tcW w:w="1163" w:type="dxa"/>
            <w:tcBorders/>
            <w:vAlign w:val="center"/>
          </w:tcPr>
          <w:p>
            <w:pPr>
              <w:pStyle w:val="Intestazione"/>
              <w:jc w:val="center"/>
              <w:rPr>
                <w:lang w:val="en-GB"/>
              </w:rPr>
            </w:pPr>
            <w:r>
              <w:rPr>
                <w:lang w:val="en-GB"/>
              </w:rPr>
              <w:t>Tempestivo</w:t>
            </w:r>
          </w:p>
          <w:p>
            <w:pPr>
              <w:pStyle w:val="Intestazione"/>
              <w:jc w:val="center"/>
              <w:rPr/>
            </w:pPr>
            <w:r>
              <w:rPr>
                <w:lang w:val="en-GB"/>
              </w:rPr>
              <w:t>art. 8 - 33/2013</w:t>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0"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r>
          </w:p>
        </w:tc>
        <w:tc>
          <w:tcPr>
            <w:tcW w:w="2268" w:type="dxa"/>
            <w:vMerge w:val="continue"/>
            <w:tcBorders/>
            <w:vAlign w:val="center"/>
          </w:tcPr>
          <w:p>
            <w:pPr>
              <w:pStyle w:val="Intestazione"/>
              <w:rPr/>
            </w:pPr>
            <w:r>
              <w:rPr/>
            </w:r>
          </w:p>
        </w:tc>
        <w:tc>
          <w:tcPr>
            <w:tcW w:w="5671" w:type="dxa"/>
            <w:tcBorders/>
            <w:vAlign w:val="center"/>
          </w:tcPr>
          <w:p>
            <w:pPr>
              <w:pStyle w:val="Intestazione"/>
              <w:rPr/>
            </w:pPr>
            <w:r>
              <w:rPr/>
              <w:t>Per ciascun titolare di incarico :</w:t>
            </w:r>
          </w:p>
        </w:tc>
        <w:tc>
          <w:tcPr>
            <w:tcW w:w="1163" w:type="dxa"/>
            <w:tcBorders/>
            <w:vAlign w:val="center"/>
          </w:tcPr>
          <w:p>
            <w:pPr>
              <w:pStyle w:val="Intestazione"/>
              <w:jc w:val="center"/>
              <w:rPr/>
            </w:pPr>
            <w:r>
              <w:rPr/>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0"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15, c. 2. lett. b)</w:t>
            </w:r>
          </w:p>
        </w:tc>
        <w:tc>
          <w:tcPr>
            <w:tcW w:w="2268" w:type="dxa"/>
            <w:vMerge w:val="continue"/>
            <w:tcBorders/>
            <w:vAlign w:val="center"/>
          </w:tcPr>
          <w:p>
            <w:pPr>
              <w:pStyle w:val="Intestazione"/>
              <w:rPr/>
            </w:pPr>
            <w:r>
              <w:rPr/>
            </w:r>
          </w:p>
        </w:tc>
        <w:tc>
          <w:tcPr>
            <w:tcW w:w="5671" w:type="dxa"/>
            <w:tcBorders/>
            <w:vAlign w:val="center"/>
          </w:tcPr>
          <w:p>
            <w:pPr>
              <w:pStyle w:val="Intestazione"/>
              <w:rPr/>
            </w:pPr>
            <w:r>
              <w:rPr/>
              <w:t>1) curriculum vitae, redatto in conformità al vigente modello europeo</w:t>
            </w:r>
          </w:p>
        </w:tc>
        <w:tc>
          <w:tcPr>
            <w:tcW w:w="1163" w:type="dxa"/>
            <w:vMerge w:val="restart"/>
            <w:tcBorders/>
            <w:vAlign w:val="center"/>
          </w:tcPr>
          <w:p>
            <w:pPr>
              <w:pStyle w:val="Intestazione"/>
              <w:jc w:val="center"/>
              <w:rPr>
                <w:lang w:val="en-GB"/>
              </w:rPr>
            </w:pPr>
            <w:r>
              <w:rPr>
                <w:lang w:val="en-GB"/>
              </w:rPr>
              <w:t>Tempestivo</w:t>
            </w:r>
          </w:p>
          <w:p>
            <w:pPr>
              <w:pStyle w:val="Intestazione"/>
              <w:jc w:val="center"/>
              <w:rPr/>
            </w:pPr>
            <w:r>
              <w:rPr>
                <w:lang w:val="en-GB"/>
              </w:rPr>
              <w:t>art. 8 - 33/2013</w:t>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r>
        <w:trPr>
          <w:trHeight w:val="1326" w:hRule="atLeast"/>
        </w:trPr>
        <w:tc>
          <w:tcPr>
            <w:tcW w:w="1134" w:type="dxa"/>
            <w:vMerge w:val="continue"/>
            <w:tcBorders/>
            <w:vAlign w:val="center"/>
          </w:tcPr>
          <w:p>
            <w:pPr>
              <w:pStyle w:val="Intestazione"/>
              <w:jc w:val="center"/>
              <w:rPr/>
            </w:pPr>
            <w:r>
              <w:rPr/>
            </w:r>
          </w:p>
        </w:tc>
        <w:tc>
          <w:tcPr>
            <w:tcW w:w="1700"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15, c. 2. lett. c)</w:t>
            </w:r>
          </w:p>
        </w:tc>
        <w:tc>
          <w:tcPr>
            <w:tcW w:w="2268" w:type="dxa"/>
            <w:vMerge w:val="continue"/>
            <w:tcBorders/>
            <w:vAlign w:val="center"/>
          </w:tcPr>
          <w:p>
            <w:pPr>
              <w:pStyle w:val="Intestazione"/>
              <w:rPr>
                <w:lang w:val="en-GB"/>
              </w:rPr>
            </w:pPr>
            <w:r>
              <w:rPr>
                <w:lang w:val="en-GB"/>
              </w:rPr>
            </w:r>
          </w:p>
        </w:tc>
        <w:tc>
          <w:tcPr>
            <w:tcW w:w="5671" w:type="dxa"/>
            <w:tcBorders/>
            <w:vAlign w:val="center"/>
          </w:tcPr>
          <w:p>
            <w:pPr>
              <w:pStyle w:val="Intestazione"/>
              <w:rPr/>
            </w:pPr>
            <w:r>
              <w:rPr/>
              <w:t>2) dati relativi allo svolgimento di incarichi o alla titolarità di cariche in enti di diritto privato regolati o finanziati dalla pubblica amministrazione o allo svolgimento di attività professionali</w:t>
            </w:r>
          </w:p>
        </w:tc>
        <w:tc>
          <w:tcPr>
            <w:tcW w:w="1163" w:type="dxa"/>
            <w:vMerge w:val="continue"/>
            <w:tcBorders/>
            <w:vAlign w:val="center"/>
          </w:tcPr>
          <w:p>
            <w:pPr>
              <w:pStyle w:val="Intestazione"/>
              <w:jc w:val="center"/>
              <w:rPr/>
            </w:pPr>
            <w:r>
              <w:rPr/>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0"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15, c. 2. lett.d)</w:t>
            </w:r>
          </w:p>
        </w:tc>
        <w:tc>
          <w:tcPr>
            <w:tcW w:w="2268" w:type="dxa"/>
            <w:vMerge w:val="continue"/>
            <w:tcBorders/>
            <w:vAlign w:val="center"/>
          </w:tcPr>
          <w:p>
            <w:pPr>
              <w:pStyle w:val="Intestazione"/>
              <w:rPr>
                <w:lang w:val="en-GB"/>
              </w:rPr>
            </w:pPr>
            <w:r>
              <w:rPr>
                <w:lang w:val="en-GB"/>
              </w:rPr>
            </w:r>
          </w:p>
        </w:tc>
        <w:tc>
          <w:tcPr>
            <w:tcW w:w="5671" w:type="dxa"/>
            <w:tcBorders/>
            <w:vAlign w:val="center"/>
          </w:tcPr>
          <w:p>
            <w:pPr>
              <w:pStyle w:val="Intestazione"/>
              <w:rPr/>
            </w:pPr>
            <w:r>
              <w:rPr/>
              <w:t>3) compensi comunque denominati, relativi al rapporto di lavoro, di consulenza o di collaborazione (compresi quelli affidati con contratto di collaborazione coordinata e continuativa), con specifica evidenza delle eventuali componenti variabili o legate alla valutazione del risultato</w:t>
            </w:r>
          </w:p>
        </w:tc>
        <w:tc>
          <w:tcPr>
            <w:tcW w:w="1163" w:type="dxa"/>
            <w:vMerge w:val="continue"/>
            <w:tcBorders/>
            <w:vAlign w:val="center"/>
          </w:tcPr>
          <w:p>
            <w:pPr>
              <w:pStyle w:val="Intestazione"/>
              <w:jc w:val="center"/>
              <w:rPr/>
            </w:pPr>
            <w:r>
              <w:rPr/>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0"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15, c. 2 ;</w:t>
            </w:r>
          </w:p>
          <w:p>
            <w:pPr>
              <w:pStyle w:val="Intestazione"/>
              <w:jc w:val="center"/>
              <w:rPr>
                <w:lang w:val="en-US"/>
              </w:rPr>
            </w:pPr>
            <w:r>
              <w:rPr>
                <w:lang w:val="en-US"/>
              </w:rPr>
              <w:t>art. 53, c. 14, del</w:t>
            </w:r>
          </w:p>
          <w:p>
            <w:pPr>
              <w:pStyle w:val="Intestazione"/>
              <w:jc w:val="center"/>
              <w:rPr>
                <w:lang w:val="en-US"/>
              </w:rPr>
            </w:pPr>
            <w:r>
              <w:rPr>
                <w:lang w:val="en-US"/>
              </w:rPr>
              <w:t>d.lgs. 165/2001</w:t>
            </w:r>
          </w:p>
        </w:tc>
        <w:tc>
          <w:tcPr>
            <w:tcW w:w="2268" w:type="dxa"/>
            <w:vMerge w:val="continue"/>
            <w:tcBorders/>
            <w:vAlign w:val="center"/>
          </w:tcPr>
          <w:p>
            <w:pPr>
              <w:pStyle w:val="Intestazione"/>
              <w:rPr>
                <w:lang w:val="en-US"/>
              </w:rPr>
            </w:pPr>
            <w:r>
              <w:rPr>
                <w:lang w:val="en-US"/>
              </w:rPr>
            </w:r>
          </w:p>
        </w:tc>
        <w:tc>
          <w:tcPr>
            <w:tcW w:w="5671" w:type="dxa"/>
            <w:tcBorders/>
            <w:vAlign w:val="center"/>
          </w:tcPr>
          <w:p>
            <w:pPr>
              <w:pStyle w:val="Intestazione"/>
              <w:rPr/>
            </w:pPr>
            <w:r>
              <w:rPr/>
              <w:t>Tabelle relative agli elenchi dei consulenti con indicazione di oggetto, durata e compenso dell'incarico (comunicate alla Funzione pubblica)</w:t>
            </w:r>
          </w:p>
        </w:tc>
        <w:tc>
          <w:tcPr>
            <w:tcW w:w="1163" w:type="dxa"/>
            <w:vMerge w:val="continue"/>
            <w:tcBorders/>
            <w:vAlign w:val="center"/>
          </w:tcPr>
          <w:p>
            <w:pPr>
              <w:pStyle w:val="Intestazione"/>
              <w:jc w:val="center"/>
              <w:rPr/>
            </w:pPr>
            <w:r>
              <w:rPr/>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0"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53, c. 14, del</w:t>
            </w:r>
          </w:p>
          <w:p>
            <w:pPr>
              <w:pStyle w:val="Intestazione"/>
              <w:jc w:val="center"/>
              <w:rPr>
                <w:lang w:val="en-US"/>
              </w:rPr>
            </w:pPr>
            <w:r>
              <w:rPr>
                <w:lang w:val="en-US"/>
              </w:rPr>
              <w:t>d.lgs. 165/2001</w:t>
            </w:r>
          </w:p>
        </w:tc>
        <w:tc>
          <w:tcPr>
            <w:tcW w:w="2268" w:type="dxa"/>
            <w:vMerge w:val="continue"/>
            <w:tcBorders/>
            <w:vAlign w:val="center"/>
          </w:tcPr>
          <w:p>
            <w:pPr>
              <w:pStyle w:val="Intestazione"/>
              <w:rPr>
                <w:lang w:val="en-US"/>
              </w:rPr>
            </w:pPr>
            <w:r>
              <w:rPr>
                <w:lang w:val="en-US"/>
              </w:rPr>
            </w:r>
          </w:p>
        </w:tc>
        <w:tc>
          <w:tcPr>
            <w:tcW w:w="5671" w:type="dxa"/>
            <w:tcBorders/>
            <w:vAlign w:val="center"/>
          </w:tcPr>
          <w:p>
            <w:pPr>
              <w:pStyle w:val="Intestazione"/>
              <w:rPr/>
            </w:pPr>
            <w:r>
              <w:rPr/>
              <w:t>Attestazione dell'avvenuta verifica dell'insussistenza di situazioni, anche potenziali, di conflitto di interesse</w:t>
            </w:r>
          </w:p>
        </w:tc>
        <w:tc>
          <w:tcPr>
            <w:tcW w:w="1163" w:type="dxa"/>
            <w:tcBorders/>
            <w:vAlign w:val="center"/>
          </w:tcPr>
          <w:p>
            <w:pPr>
              <w:pStyle w:val="Intestazione"/>
              <w:jc w:val="center"/>
              <w:rPr/>
            </w:pPr>
            <w:r>
              <w:rPr/>
              <w:t>Tempestivo</w:t>
            </w:r>
          </w:p>
        </w:tc>
        <w:tc>
          <w:tcPr>
            <w:tcW w:w="1135" w:type="dxa"/>
            <w:tcBorders/>
            <w:vAlign w:val="center"/>
          </w:tcPr>
          <w:p>
            <w:pPr>
              <w:pStyle w:val="Intestazione"/>
              <w:jc w:val="center"/>
              <w:rPr/>
            </w:pPr>
            <w:r>
              <w:rPr/>
            </w:r>
          </w:p>
        </w:tc>
        <w:tc>
          <w:tcPr>
            <w:tcW w:w="1272"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29"/>
        <w:gridCol w:w="1276"/>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Personale</w:t>
            </w:r>
          </w:p>
        </w:tc>
        <w:tc>
          <w:tcPr>
            <w:tcW w:w="1701" w:type="dxa"/>
            <w:vMerge w:val="restart"/>
            <w:tcBorders/>
            <w:vAlign w:val="center"/>
          </w:tcPr>
          <w:p>
            <w:pPr>
              <w:pStyle w:val="Intestazione"/>
              <w:jc w:val="center"/>
              <w:rPr>
                <w:b/>
                <w:b/>
              </w:rPr>
            </w:pPr>
            <w:r>
              <w:rPr>
                <w:b/>
              </w:rPr>
              <w:t>Incarichi amministrativi</w:t>
            </w:r>
          </w:p>
          <w:p>
            <w:pPr>
              <w:pStyle w:val="Intestazione"/>
              <w:jc w:val="center"/>
              <w:rPr>
                <w:b/>
                <w:b/>
              </w:rPr>
            </w:pPr>
            <w:r>
              <w:rPr>
                <w:b/>
              </w:rPr>
              <w:t>di vertice</w:t>
            </w:r>
          </w:p>
        </w:tc>
        <w:tc>
          <w:tcPr>
            <w:tcW w:w="1134" w:type="dxa"/>
            <w:tcBorders/>
            <w:vAlign w:val="center"/>
          </w:tcPr>
          <w:p>
            <w:pPr>
              <w:pStyle w:val="Intestazione"/>
              <w:jc w:val="center"/>
              <w:rPr/>
            </w:pPr>
            <w:r>
              <w:rPr/>
            </w:r>
          </w:p>
        </w:tc>
        <w:tc>
          <w:tcPr>
            <w:tcW w:w="2268" w:type="dxa"/>
            <w:vMerge w:val="restart"/>
            <w:tcBorders/>
            <w:vAlign w:val="center"/>
          </w:tcPr>
          <w:p>
            <w:pPr>
              <w:pStyle w:val="Intestazione"/>
              <w:jc w:val="center"/>
              <w:rPr/>
            </w:pPr>
            <w:r>
              <w:rPr/>
              <w:t>Incarichi amministrativi di vertice</w:t>
            </w:r>
          </w:p>
          <w:p>
            <w:pPr>
              <w:pStyle w:val="Intestazione"/>
              <w:jc w:val="center"/>
              <w:rPr/>
            </w:pPr>
            <w:r>
              <w:rPr/>
            </w:r>
          </w:p>
          <w:p>
            <w:pPr>
              <w:pStyle w:val="Intestazione"/>
              <w:jc w:val="center"/>
              <w:rPr/>
            </w:pPr>
            <w:r>
              <w:rPr/>
              <w:t>(da pubblicare in tabelle)</w:t>
            </w:r>
          </w:p>
        </w:tc>
        <w:tc>
          <w:tcPr>
            <w:tcW w:w="5670" w:type="dxa"/>
            <w:tcBorders/>
            <w:vAlign w:val="center"/>
          </w:tcPr>
          <w:p>
            <w:pPr>
              <w:pStyle w:val="Intestazione"/>
              <w:rPr/>
            </w:pPr>
            <w:r>
              <w:rPr/>
              <w:t>Per ciascun titolare di incarico :</w:t>
            </w:r>
          </w:p>
        </w:tc>
        <w:tc>
          <w:tcPr>
            <w:tcW w:w="1163" w:type="dxa"/>
            <w:gridSpan w:val="2"/>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a)</w:t>
            </w:r>
          </w:p>
          <w:p>
            <w:pPr>
              <w:pStyle w:val="Intestazione"/>
              <w:jc w:val="center"/>
              <w:rPr>
                <w:lang w:val="en-GB"/>
              </w:rPr>
            </w:pPr>
            <w:r>
              <w:rPr>
                <w:lang w:val="en-GB"/>
              </w:rPr>
              <w:t>e c. 1-bis</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Atto di conferimento, con l'indicazione della durata dell'incarico</w:t>
            </w:r>
          </w:p>
        </w:tc>
        <w:tc>
          <w:tcPr>
            <w:tcW w:w="1163" w:type="dxa"/>
            <w:gridSpan w:val="2"/>
            <w:vMerge w:val="restart"/>
            <w:tcBorders/>
            <w:vAlign w:val="center"/>
          </w:tcPr>
          <w:p>
            <w:pPr>
              <w:pStyle w:val="Intestazione"/>
              <w:jc w:val="center"/>
              <w:rPr/>
            </w:pPr>
            <w:r>
              <w:rPr/>
              <w:t>Tempestivo</w:t>
            </w:r>
          </w:p>
          <w:p>
            <w:pPr>
              <w:pStyle w:val="Intestazione"/>
              <w:jc w:val="center"/>
              <w:rPr/>
            </w:pPr>
            <w:r>
              <w:rPr/>
              <w:t>art. 8 d.lgs.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14, c. 1, lett.b)</w:t>
            </w:r>
          </w:p>
          <w:p>
            <w:pPr>
              <w:pStyle w:val="Intestazione"/>
              <w:jc w:val="center"/>
              <w:rPr>
                <w:lang w:val="en-US"/>
              </w:rPr>
            </w:pPr>
            <w:r>
              <w:rPr>
                <w:lang w:val="en-US"/>
              </w:rPr>
              <w:t>e c. 1-bis</w:t>
            </w:r>
          </w:p>
        </w:tc>
        <w:tc>
          <w:tcPr>
            <w:tcW w:w="2268" w:type="dxa"/>
            <w:vMerge w:val="continue"/>
            <w:tcBorders/>
            <w:vAlign w:val="center"/>
          </w:tcPr>
          <w:p>
            <w:pPr>
              <w:pStyle w:val="Intestazione"/>
              <w:rPr>
                <w:lang w:val="en-US"/>
              </w:rPr>
            </w:pPr>
            <w:r>
              <w:rPr>
                <w:lang w:val="en-US"/>
              </w:rPr>
            </w:r>
          </w:p>
        </w:tc>
        <w:tc>
          <w:tcPr>
            <w:tcW w:w="5670" w:type="dxa"/>
            <w:tcBorders/>
            <w:vAlign w:val="center"/>
          </w:tcPr>
          <w:p>
            <w:pPr>
              <w:pStyle w:val="Intestazione"/>
              <w:rPr/>
            </w:pPr>
            <w:r>
              <w:rPr/>
              <w:t>Curriculum vitae, redatto in conformità al vigente modello europeo</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restart"/>
            <w:tcBorders/>
            <w:vAlign w:val="center"/>
          </w:tcPr>
          <w:p>
            <w:pPr>
              <w:pStyle w:val="Intestazione"/>
              <w:jc w:val="center"/>
              <w:rPr>
                <w:lang w:val="en-GB"/>
              </w:rPr>
            </w:pPr>
            <w:r>
              <w:rPr>
                <w:lang w:val="en-US"/>
              </w:rPr>
              <w:t xml:space="preserve">art. 14, c. </w:t>
            </w:r>
            <w:r>
              <w:rPr>
                <w:lang w:val="en-GB"/>
              </w:rPr>
              <w:t>1, lett. c)</w:t>
            </w:r>
          </w:p>
          <w:p>
            <w:pPr>
              <w:pStyle w:val="Intestazione"/>
              <w:jc w:val="center"/>
              <w:rPr>
                <w:lang w:val="en-GB"/>
              </w:rPr>
            </w:pPr>
            <w:r>
              <w:rPr>
                <w:lang w:val="en-GB"/>
              </w:rPr>
              <w:t>e c. 1-bis</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Compensi di qualsiasi natura connessi all'assunzione dell'incarico (con specifica evidenza delle eventuali componenti variabili o legate alla valutazione del risultato)</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Importi di viaggi di servizio e missioni pagati con fondi pubblici</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d)</w:t>
            </w:r>
          </w:p>
          <w:p>
            <w:pPr>
              <w:pStyle w:val="Intestazione"/>
              <w:jc w:val="center"/>
              <w:rPr>
                <w:lang w:val="en-GB"/>
              </w:rPr>
            </w:pPr>
            <w:r>
              <w:rPr>
                <w:lang w:val="en-GB"/>
              </w:rPr>
              <w:t>e c. 1-bis</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Dati relativi all'assunzione di altre cariche, presso enti pubblici o privati, e relativi compensi a qualsiasi titolo corrisposti</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r>
          </w:p>
        </w:tc>
        <w:tc>
          <w:tcPr>
            <w:tcW w:w="1134" w:type="dxa"/>
            <w:tcBorders/>
            <w:vAlign w:val="center"/>
          </w:tcPr>
          <w:p>
            <w:pPr>
              <w:pStyle w:val="Intestazione"/>
              <w:jc w:val="center"/>
              <w:rPr/>
            </w:pPr>
            <w:r>
              <w:rPr/>
              <w:t>art. 14, c. 1, lett. e)</w:t>
            </w:r>
          </w:p>
          <w:p>
            <w:pPr>
              <w:pStyle w:val="Intestazione"/>
              <w:jc w:val="center"/>
              <w:rPr/>
            </w:pPr>
            <w:r>
              <w:rPr/>
              <w:t>e c. 1-bis</w:t>
            </w:r>
          </w:p>
        </w:tc>
        <w:tc>
          <w:tcPr>
            <w:tcW w:w="2268" w:type="dxa"/>
            <w:vMerge w:val="restart"/>
            <w:tcBorders/>
            <w:vAlign w:val="center"/>
          </w:tcPr>
          <w:p>
            <w:pPr>
              <w:pStyle w:val="Intestazione"/>
              <w:rPr/>
            </w:pPr>
            <w:r>
              <w:rPr/>
            </w:r>
          </w:p>
        </w:tc>
        <w:tc>
          <w:tcPr>
            <w:tcW w:w="5670" w:type="dxa"/>
            <w:tcBorders/>
            <w:vAlign w:val="center"/>
          </w:tcPr>
          <w:p>
            <w:pPr>
              <w:pStyle w:val="Intestazione"/>
              <w:rPr/>
            </w:pPr>
            <w:r>
              <w:rPr/>
              <w:t>Altri eventuali incarichi con  oneri a carico della finanza pubblica e indicazione dei compensi spettanti</w:t>
            </w:r>
          </w:p>
        </w:tc>
        <w:tc>
          <w:tcPr>
            <w:tcW w:w="1163" w:type="dxa"/>
            <w:gridSpan w:val="2"/>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f)</w:t>
            </w:r>
          </w:p>
          <w:p>
            <w:pPr>
              <w:pStyle w:val="Intestazione"/>
              <w:jc w:val="center"/>
              <w:rPr>
                <w:lang w:val="en-GB"/>
              </w:rPr>
            </w:pPr>
            <w:r>
              <w:rPr>
                <w:lang w:val="en-GB"/>
              </w:rPr>
              <w:t>e c. 1-bis ;</w:t>
            </w:r>
          </w:p>
          <w:p>
            <w:pPr>
              <w:pStyle w:val="Intestazione"/>
              <w:jc w:val="center"/>
              <w:rPr>
                <w:lang w:val="en-GB"/>
              </w:rPr>
            </w:pPr>
            <w:r>
              <w:rPr>
                <w:lang w:val="en-GB"/>
              </w:rPr>
              <w:t>art. 2, c. 1, p. 1,</w:t>
            </w:r>
          </w:p>
          <w:p>
            <w:pPr>
              <w:pStyle w:val="Intestazione"/>
              <w:jc w:val="center"/>
              <w:rPr>
                <w:lang w:val="en-GB"/>
              </w:rPr>
            </w:pPr>
            <w:r>
              <w:rPr>
                <w:lang w:val="en-GB"/>
              </w:rPr>
              <w:t>legge 441/1982</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e riferita al momento dell'assunzione dell'incarico]</w:t>
            </w:r>
          </w:p>
        </w:tc>
        <w:tc>
          <w:tcPr>
            <w:tcW w:w="1163" w:type="dxa"/>
            <w:gridSpan w:val="2"/>
            <w:tcBorders/>
            <w:vAlign w:val="center"/>
          </w:tcPr>
          <w:p>
            <w:pPr>
              <w:pStyle w:val="Intestazione"/>
              <w:jc w:val="center"/>
              <w:rPr/>
            </w:pPr>
            <w:r>
              <w:rPr/>
              <w:t>Nessuno (va presentata una sola volta entro 3 mesi  dalla elezione, dalla nomina o dal conferimento dell'incarico e resta pubblicata fino alla cessazione dell'incarico o del mandato).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a)</w:t>
            </w:r>
          </w:p>
          <w:p>
            <w:pPr>
              <w:pStyle w:val="Intestazione"/>
              <w:jc w:val="center"/>
              <w:rPr>
                <w:lang w:val="en-GB"/>
              </w:rPr>
            </w:pPr>
            <w:r>
              <w:rPr>
                <w:lang w:val="en-GB"/>
              </w:rPr>
              <w:t>e c. 1-bis ;</w:t>
            </w:r>
          </w:p>
          <w:p>
            <w:pPr>
              <w:pStyle w:val="Intestazione"/>
              <w:jc w:val="center"/>
              <w:rPr>
                <w:lang w:val="en-GB"/>
              </w:rPr>
            </w:pPr>
            <w:r>
              <w:rPr>
                <w:lang w:val="en-GB"/>
              </w:rPr>
              <w:t>art. 2, c. 1, p. 2,</w:t>
            </w:r>
          </w:p>
          <w:p>
            <w:pPr>
              <w:pStyle w:val="Intestazione"/>
              <w:jc w:val="center"/>
              <w:rPr>
                <w:lang w:val="en-GB"/>
              </w:rPr>
            </w:pPr>
            <w:r>
              <w:rPr>
                <w:lang w:val="en-GB"/>
              </w:rPr>
              <w:t>legge 441/1982</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2)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w:t>
            </w:r>
          </w:p>
        </w:tc>
        <w:tc>
          <w:tcPr>
            <w:tcW w:w="1163" w:type="dxa"/>
            <w:gridSpan w:val="2"/>
            <w:tcBorders/>
            <w:vAlign w:val="center"/>
          </w:tcPr>
          <w:p>
            <w:pPr>
              <w:pStyle w:val="Intestazione"/>
              <w:jc w:val="center"/>
              <w:rPr/>
            </w:pPr>
            <w:r>
              <w:rPr/>
              <w:t>Entro 3 mesi della nomina o dal conferimento dell'incarico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a)</w:t>
            </w:r>
          </w:p>
          <w:p>
            <w:pPr>
              <w:pStyle w:val="Intestazione"/>
              <w:jc w:val="center"/>
              <w:rPr>
                <w:lang w:val="en-GB"/>
              </w:rPr>
            </w:pPr>
            <w:r>
              <w:rPr>
                <w:lang w:val="en-GB"/>
              </w:rPr>
              <w:t>e c. 1-bis ;</w:t>
            </w:r>
          </w:p>
          <w:p>
            <w:pPr>
              <w:pStyle w:val="Intestazione"/>
              <w:jc w:val="center"/>
              <w:rPr>
                <w:lang w:val="en-GB"/>
              </w:rPr>
            </w:pPr>
            <w:r>
              <w:rPr>
                <w:lang w:val="en-GB"/>
              </w:rPr>
              <w:t>art. 3 legge 441/1982</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3)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w:t>
            </w:r>
          </w:p>
        </w:tc>
        <w:tc>
          <w:tcPr>
            <w:tcW w:w="1163" w:type="dxa"/>
            <w:gridSpan w:val="2"/>
            <w:tcBorders/>
            <w:vAlign w:val="center"/>
          </w:tcPr>
          <w:p>
            <w:pPr>
              <w:pStyle w:val="Intestazione"/>
              <w:jc w:val="center"/>
              <w:rPr/>
            </w:pPr>
            <w:r>
              <w:rPr/>
              <w:t>Annuale</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20, c. 3</w:t>
            </w:r>
          </w:p>
          <w:p>
            <w:pPr>
              <w:pStyle w:val="Intestazione"/>
              <w:jc w:val="center"/>
              <w:rPr>
                <w:lang w:val="en-GB"/>
              </w:rPr>
            </w:pPr>
            <w:r>
              <w:rPr>
                <w:lang w:val="en-GB"/>
              </w:rPr>
              <w:t>d.lgs. 39/2013</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Dichiarazione sulla insussistenza di una delle cause di inconferibilità dell'incarico</w:t>
            </w:r>
          </w:p>
        </w:tc>
        <w:tc>
          <w:tcPr>
            <w:tcW w:w="1163" w:type="dxa"/>
            <w:gridSpan w:val="2"/>
            <w:tcBorders/>
            <w:vAlign w:val="center"/>
          </w:tcPr>
          <w:p>
            <w:pPr>
              <w:pStyle w:val="Intestazione"/>
              <w:jc w:val="center"/>
              <w:rPr/>
            </w:pPr>
            <w:r>
              <w:rPr/>
              <w:t>Tempestivo</w:t>
            </w:r>
          </w:p>
          <w:p>
            <w:pPr>
              <w:pStyle w:val="Intestazione"/>
              <w:jc w:val="center"/>
              <w:rPr/>
            </w:pPr>
            <w:r>
              <w:rPr/>
              <w:t>art. 8 d.lgs.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20, c. 3</w:t>
            </w:r>
          </w:p>
          <w:p>
            <w:pPr>
              <w:pStyle w:val="Intestazione"/>
              <w:jc w:val="center"/>
              <w:rPr>
                <w:lang w:val="en-GB"/>
              </w:rPr>
            </w:pPr>
            <w:r>
              <w:rPr>
                <w:lang w:val="en-GB"/>
              </w:rPr>
              <w:t>d.lgs. 39/2013</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Dichiarazione sulla insussistenza di una delle cause di incompatibilità al conferimento dell'incarico</w:t>
            </w:r>
          </w:p>
        </w:tc>
        <w:tc>
          <w:tcPr>
            <w:tcW w:w="1163" w:type="dxa"/>
            <w:gridSpan w:val="2"/>
            <w:tcBorders/>
            <w:vAlign w:val="center"/>
          </w:tcPr>
          <w:p>
            <w:pPr>
              <w:pStyle w:val="Intestazione"/>
              <w:jc w:val="center"/>
              <w:rPr>
                <w:lang w:val="en-GB"/>
              </w:rPr>
            </w:pPr>
            <w:r>
              <w:rPr>
                <w:lang w:val="en-GB"/>
              </w:rPr>
              <w:t>Annuale art. 20,</w:t>
            </w:r>
          </w:p>
          <w:p>
            <w:pPr>
              <w:pStyle w:val="Intestazione"/>
              <w:jc w:val="center"/>
              <w:rPr>
                <w:lang w:val="en-GB"/>
              </w:rPr>
            </w:pPr>
            <w:r>
              <w:rPr>
                <w:lang w:val="en-GB"/>
              </w:rPr>
              <w:t xml:space="preserve"> </w:t>
            </w:r>
            <w:r>
              <w:rPr>
                <w:lang w:val="en-GB"/>
              </w:rPr>
              <w:t>c. 2,d.lgs. 39/2013</w:t>
            </w:r>
          </w:p>
        </w:tc>
        <w:tc>
          <w:tcPr>
            <w:tcW w:w="1276" w:type="dxa"/>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vMerge w:val="continue"/>
            <w:tcBorders/>
            <w:vAlign w:val="center"/>
          </w:tcPr>
          <w:p>
            <w:pPr>
              <w:pStyle w:val="Intestazione"/>
              <w:jc w:val="center"/>
              <w:rPr>
                <w:b/>
                <w:b/>
                <w:lang w:val="en-GB"/>
              </w:rPr>
            </w:pPr>
            <w:r>
              <w:rPr>
                <w:b/>
                <w:lang w:val="en-GB"/>
              </w:rPr>
            </w:r>
          </w:p>
        </w:tc>
        <w:tc>
          <w:tcPr>
            <w:tcW w:w="1134" w:type="dxa"/>
            <w:tcBorders/>
            <w:vAlign w:val="center"/>
          </w:tcPr>
          <w:p>
            <w:pPr>
              <w:pStyle w:val="Intestazione"/>
              <w:jc w:val="center"/>
              <w:rPr/>
            </w:pPr>
            <w:r>
              <w:rPr/>
              <w:t>art. 14, c. 1-ter,</w:t>
            </w:r>
          </w:p>
          <w:p>
            <w:pPr>
              <w:pStyle w:val="Intestazione"/>
              <w:jc w:val="center"/>
              <w:rPr/>
            </w:pPr>
            <w:r>
              <w:rPr/>
              <w:t>secondo periodo</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Ammontare complessivo degli emolumenti percepiti a carico della finanza pubblica</w:t>
            </w:r>
          </w:p>
        </w:tc>
        <w:tc>
          <w:tcPr>
            <w:tcW w:w="1163" w:type="dxa"/>
            <w:gridSpan w:val="2"/>
            <w:tcBorders/>
            <w:vAlign w:val="center"/>
          </w:tcPr>
          <w:p>
            <w:pPr>
              <w:pStyle w:val="Intestazione"/>
              <w:jc w:val="center"/>
              <w:rPr/>
            </w:pPr>
            <w:r>
              <w:rPr/>
              <w:t>Annuale</w:t>
            </w:r>
          </w:p>
          <w:p>
            <w:pPr>
              <w:pStyle w:val="Intestazione"/>
              <w:jc w:val="center"/>
              <w:rPr/>
            </w:pPr>
            <w:r>
              <w:rPr/>
              <w:t>(entro 30 marzo)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rPr>
                <w:b/>
                <w:b/>
              </w:rPr>
            </w:pPr>
            <w:r>
              <w:rPr>
                <w:b/>
              </w:rPr>
              <w:t>Titolari di incarichi dirigenziali</w:t>
            </w:r>
          </w:p>
          <w:p>
            <w:pPr>
              <w:pStyle w:val="Intestazione"/>
              <w:jc w:val="center"/>
              <w:rPr>
                <w:b/>
                <w:b/>
              </w:rPr>
            </w:pPr>
            <w:r>
              <w:rPr>
                <w:b/>
              </w:rPr>
              <w:t>(dirigenti non generali)</w:t>
            </w:r>
          </w:p>
        </w:tc>
        <w:tc>
          <w:tcPr>
            <w:tcW w:w="1134" w:type="dxa"/>
            <w:tcBorders/>
            <w:vAlign w:val="center"/>
          </w:tcPr>
          <w:p>
            <w:pPr>
              <w:pStyle w:val="Intestazione"/>
              <w:jc w:val="center"/>
              <w:rPr/>
            </w:pPr>
            <w:r>
              <w:rPr/>
            </w:r>
          </w:p>
        </w:tc>
        <w:tc>
          <w:tcPr>
            <w:tcW w:w="2268" w:type="dxa"/>
            <w:vMerge w:val="restart"/>
            <w:tcBorders/>
            <w:vAlign w:val="center"/>
          </w:tcPr>
          <w:p>
            <w:pPr>
              <w:pStyle w:val="Intestazione"/>
              <w:rPr/>
            </w:pPr>
            <w:r>
              <w:rPr/>
              <w:t>Incarichi dirigenziali, a qualsiasi titolo conferiti, ivi inclusi quelli conferiti discrezionalmente dall'organo di indirizzo politico senza procedure pubbliche di selezione e titolari di posizione organizzativa con funzioni dirigenziali</w:t>
            </w:r>
          </w:p>
          <w:p>
            <w:pPr>
              <w:pStyle w:val="Intestazione"/>
              <w:rPr/>
            </w:pPr>
            <w:r>
              <w:rPr/>
            </w:r>
          </w:p>
          <w:p>
            <w:pPr>
              <w:pStyle w:val="Intestazione"/>
              <w:rPr/>
            </w:pPr>
            <w:r>
              <w:rPr/>
              <w:t>(da pubblicare in tabelle che distinguano le seguenti situazioni: dirigenti, dirigenti individuati discrezionalmente, titolari di posizione organizzativa con funzioni dirigenziali)</w:t>
            </w:r>
          </w:p>
        </w:tc>
        <w:tc>
          <w:tcPr>
            <w:tcW w:w="5670" w:type="dxa"/>
            <w:tcBorders/>
            <w:vAlign w:val="center"/>
          </w:tcPr>
          <w:p>
            <w:pPr>
              <w:pStyle w:val="Intestazione"/>
              <w:rPr/>
            </w:pPr>
            <w:r>
              <w:rPr/>
              <w:t>Per ciascun titolare di incarico :</w:t>
            </w:r>
          </w:p>
        </w:tc>
        <w:tc>
          <w:tcPr>
            <w:tcW w:w="1163" w:type="dxa"/>
            <w:gridSpan w:val="2"/>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a)</w:t>
            </w:r>
          </w:p>
          <w:p>
            <w:pPr>
              <w:pStyle w:val="Intestazione"/>
              <w:jc w:val="center"/>
              <w:rPr>
                <w:lang w:val="en-US"/>
              </w:rPr>
            </w:pPr>
            <w:r>
              <w:rPr>
                <w:lang w:val="en-GB"/>
              </w:rPr>
              <w:t>e c. 1-bis</w:t>
            </w:r>
          </w:p>
        </w:tc>
        <w:tc>
          <w:tcPr>
            <w:tcW w:w="2268" w:type="dxa"/>
            <w:vMerge w:val="continue"/>
            <w:tcBorders/>
            <w:vAlign w:val="center"/>
          </w:tcPr>
          <w:p>
            <w:pPr>
              <w:pStyle w:val="Intestazione"/>
              <w:rPr>
                <w:lang w:val="en-US"/>
              </w:rPr>
            </w:pPr>
            <w:r>
              <w:rPr>
                <w:lang w:val="en-US"/>
              </w:rPr>
            </w:r>
          </w:p>
        </w:tc>
        <w:tc>
          <w:tcPr>
            <w:tcW w:w="5670" w:type="dxa"/>
            <w:tcBorders/>
            <w:vAlign w:val="center"/>
          </w:tcPr>
          <w:p>
            <w:pPr>
              <w:pStyle w:val="Intestazione"/>
              <w:rPr/>
            </w:pPr>
            <w:r>
              <w:rPr/>
              <w:t>Atto di conferimento, con l'indicazione della durata dell'incarico</w:t>
            </w:r>
          </w:p>
        </w:tc>
        <w:tc>
          <w:tcPr>
            <w:tcW w:w="1163" w:type="dxa"/>
            <w:gridSpan w:val="2"/>
            <w:vMerge w:val="restart"/>
            <w:tcBorders/>
            <w:vAlign w:val="center"/>
          </w:tcPr>
          <w:p>
            <w:pPr>
              <w:pStyle w:val="Intestazione"/>
              <w:jc w:val="center"/>
              <w:rPr/>
            </w:pPr>
            <w:r>
              <w:rPr/>
              <w:t>Tempestivo</w:t>
            </w:r>
          </w:p>
          <w:p>
            <w:pPr>
              <w:pStyle w:val="Intestazione"/>
              <w:jc w:val="center"/>
              <w:rPr/>
            </w:pPr>
            <w:r>
              <w:rPr/>
              <w:t>art. 8 d.lgs. 33/2013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b)</w:t>
            </w:r>
          </w:p>
          <w:p>
            <w:pPr>
              <w:pStyle w:val="Intestazione"/>
              <w:jc w:val="center"/>
              <w:rPr>
                <w:lang w:val="en-GB"/>
              </w:rPr>
            </w:pPr>
            <w:r>
              <w:rPr>
                <w:lang w:val="en-GB"/>
              </w:rPr>
              <w:t>e c. 1-bis</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Curriculum vitae, redatto in conformità al vigente modello europeo</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restart"/>
            <w:tcBorders/>
            <w:vAlign w:val="center"/>
          </w:tcPr>
          <w:p>
            <w:pPr>
              <w:pStyle w:val="Intestazione"/>
              <w:jc w:val="center"/>
              <w:rPr>
                <w:lang w:val="en-GB"/>
              </w:rPr>
            </w:pPr>
            <w:r>
              <w:rPr>
                <w:lang w:val="en-GB"/>
              </w:rPr>
              <w:t>art. 14, c. 1, lett. c)</w:t>
            </w:r>
          </w:p>
          <w:p>
            <w:pPr>
              <w:pStyle w:val="Intestazione"/>
              <w:jc w:val="center"/>
              <w:rPr>
                <w:lang w:val="en-GB"/>
              </w:rPr>
            </w:pPr>
            <w:r>
              <w:rPr>
                <w:lang w:val="en-GB"/>
              </w:rPr>
              <w:t>e c. 1-bis</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Compensi di qualsiasi natura connessi all'assunzione dell'incarico (con specifica evidenza delle eventuali componenti variabili o legate alla valutazione del risultato)</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Importi di viaggi di servizio e missioni pagati con fondi pubblici</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d)</w:t>
            </w:r>
          </w:p>
          <w:p>
            <w:pPr>
              <w:pStyle w:val="Intestazione"/>
              <w:jc w:val="center"/>
              <w:rPr>
                <w:lang w:val="en-GB"/>
              </w:rPr>
            </w:pPr>
            <w:r>
              <w:rPr>
                <w:lang w:val="en-GB"/>
              </w:rPr>
              <w:t>e c. 1-bis</w:t>
            </w:r>
          </w:p>
        </w:tc>
        <w:tc>
          <w:tcPr>
            <w:tcW w:w="2268" w:type="dxa"/>
            <w:vMerge w:val="continue"/>
            <w:tcBorders/>
            <w:vAlign w:val="center"/>
          </w:tcPr>
          <w:p>
            <w:pPr>
              <w:pStyle w:val="Intestazione"/>
              <w:rPr>
                <w:lang w:val="en-GB"/>
              </w:rPr>
            </w:pPr>
            <w:r>
              <w:rPr>
                <w:lang w:val="en-GB"/>
              </w:rPr>
            </w:r>
          </w:p>
        </w:tc>
        <w:tc>
          <w:tcPr>
            <w:tcW w:w="5670" w:type="dxa"/>
            <w:tcBorders/>
            <w:vAlign w:val="center"/>
          </w:tcPr>
          <w:p>
            <w:pPr>
              <w:pStyle w:val="Intestazione"/>
              <w:rPr/>
            </w:pPr>
            <w:r>
              <w:rPr/>
              <w:t>Dati relativi all'assunzione di altre cariche, presso enti pubblici o privati, e relativi compensi a qualsiasi titolo corrisposti</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14, c. 1, lett. e)</w:t>
            </w:r>
          </w:p>
          <w:p>
            <w:pPr>
              <w:pStyle w:val="Intestazione"/>
              <w:jc w:val="center"/>
              <w:rPr/>
            </w:pPr>
            <w:r>
              <w:rPr/>
              <w:t>e c. 1-bis</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Altri eventuali incarichi con  oneri a carico della finanza pubblica e indicazione dei compensi spettanti</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f)</w:t>
            </w:r>
          </w:p>
          <w:p>
            <w:pPr>
              <w:pStyle w:val="Intestazione"/>
              <w:jc w:val="center"/>
              <w:rPr>
                <w:lang w:val="en-GB"/>
              </w:rPr>
            </w:pPr>
            <w:r>
              <w:rPr>
                <w:lang w:val="en-GB"/>
              </w:rPr>
              <w:t>e c. 1-bis ;</w:t>
            </w:r>
          </w:p>
          <w:p>
            <w:pPr>
              <w:pStyle w:val="Intestazione"/>
              <w:jc w:val="center"/>
              <w:rPr/>
            </w:pPr>
            <w:r>
              <w:rPr/>
              <w:t>art. 2, c. 1, p.1,</w:t>
            </w:r>
          </w:p>
          <w:p>
            <w:pPr>
              <w:pStyle w:val="Intestazione"/>
              <w:jc w:val="center"/>
              <w:rPr/>
            </w:pPr>
            <w:r>
              <w:rPr/>
              <w:t>legge 441/1982</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e riferita al momento dell'assunzione dell'incarico]</w:t>
            </w:r>
          </w:p>
        </w:tc>
        <w:tc>
          <w:tcPr>
            <w:tcW w:w="1163" w:type="dxa"/>
            <w:gridSpan w:val="2"/>
            <w:tcBorders/>
            <w:vAlign w:val="center"/>
          </w:tcPr>
          <w:p>
            <w:pPr>
              <w:pStyle w:val="Intestazione"/>
              <w:jc w:val="center"/>
              <w:rPr/>
            </w:pPr>
            <w:r>
              <w:rPr/>
              <w:t>Nessuno (va presentata una sola volta entro 3 mesi  dalla elezione, dalla nomina o dal conferimento dell'incarico e resta pubblicata fino alla cessazione dell'incarico o del mandato).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f)</w:t>
            </w:r>
          </w:p>
          <w:p>
            <w:pPr>
              <w:pStyle w:val="Intestazione"/>
              <w:jc w:val="center"/>
              <w:rPr>
                <w:lang w:val="en-GB"/>
              </w:rPr>
            </w:pPr>
            <w:r>
              <w:rPr>
                <w:lang w:val="en-GB"/>
              </w:rPr>
              <w:t>e c. 1-bis ;</w:t>
            </w:r>
          </w:p>
          <w:p>
            <w:pPr>
              <w:pStyle w:val="Intestazione"/>
              <w:jc w:val="center"/>
              <w:rPr/>
            </w:pPr>
            <w:r>
              <w:rPr/>
              <w:t>art. 2, c. 1, p.2,</w:t>
            </w:r>
          </w:p>
          <w:p>
            <w:pPr>
              <w:pStyle w:val="Intestazione"/>
              <w:jc w:val="center"/>
              <w:rPr/>
            </w:pPr>
            <w:r>
              <w:rPr/>
              <w:t>legge 441/1982</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2)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w:t>
            </w:r>
          </w:p>
        </w:tc>
        <w:tc>
          <w:tcPr>
            <w:tcW w:w="1163" w:type="dxa"/>
            <w:gridSpan w:val="2"/>
            <w:tcBorders/>
            <w:vAlign w:val="center"/>
          </w:tcPr>
          <w:p>
            <w:pPr>
              <w:pStyle w:val="Intestazione"/>
              <w:jc w:val="center"/>
              <w:rPr/>
            </w:pPr>
            <w:r>
              <w:rPr/>
              <w:t>Entro 3 mesi della nomina o dal conferimento dell'incarico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f)</w:t>
            </w:r>
          </w:p>
          <w:p>
            <w:pPr>
              <w:pStyle w:val="Intestazione"/>
              <w:jc w:val="center"/>
              <w:rPr>
                <w:lang w:val="en-GB"/>
              </w:rPr>
            </w:pPr>
            <w:r>
              <w:rPr>
                <w:lang w:val="en-GB"/>
              </w:rPr>
              <w:t>e c. 1-bis ;</w:t>
            </w:r>
          </w:p>
          <w:p>
            <w:pPr>
              <w:pStyle w:val="Intestazione"/>
              <w:jc w:val="center"/>
              <w:rPr/>
            </w:pPr>
            <w:r>
              <w:rPr/>
              <w:t>art. 3 legge 441/1982</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3)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w:t>
            </w:r>
          </w:p>
        </w:tc>
        <w:tc>
          <w:tcPr>
            <w:tcW w:w="1163" w:type="dxa"/>
            <w:gridSpan w:val="2"/>
            <w:tcBorders/>
            <w:vAlign w:val="center"/>
          </w:tcPr>
          <w:p>
            <w:pPr>
              <w:pStyle w:val="Intestazione"/>
              <w:jc w:val="center"/>
              <w:rPr/>
            </w:pPr>
            <w:r>
              <w:rPr/>
              <w:t>Annuale</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20, c. 3,</w:t>
            </w:r>
          </w:p>
          <w:p>
            <w:pPr>
              <w:pStyle w:val="Intestazione"/>
              <w:jc w:val="center"/>
              <w:rPr/>
            </w:pPr>
            <w:r>
              <w:rPr/>
              <w:t>d.lgs. 39/2013</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Dichiarazione sulla insussistenza di una delle cause di inconferibilità dell'incarico</w:t>
            </w:r>
          </w:p>
        </w:tc>
        <w:tc>
          <w:tcPr>
            <w:tcW w:w="1163" w:type="dxa"/>
            <w:gridSpan w:val="2"/>
            <w:vMerge w:val="restart"/>
            <w:tcBorders/>
            <w:vAlign w:val="center"/>
          </w:tcPr>
          <w:p>
            <w:pPr>
              <w:pStyle w:val="Intestazione"/>
              <w:jc w:val="center"/>
              <w:rPr/>
            </w:pPr>
            <w:r>
              <w:rPr/>
              <w:t>Tempestivo</w:t>
            </w:r>
          </w:p>
          <w:p>
            <w:pPr>
              <w:pStyle w:val="Intestazione"/>
              <w:jc w:val="center"/>
              <w:rPr/>
            </w:pPr>
            <w:r>
              <w:rPr/>
              <w:t>(art. 20, c. 2, d.lgs. n. 39/2013)</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20, c. 3,</w:t>
            </w:r>
          </w:p>
          <w:p>
            <w:pPr>
              <w:pStyle w:val="Intestazione"/>
              <w:jc w:val="center"/>
              <w:rPr/>
            </w:pPr>
            <w:r>
              <w:rPr/>
              <w:t>d.lgs. 39/2013</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Dichiarazione sulla insussistenza di una delle cause di incompatibilità al conferimento dell'incarico</w:t>
            </w:r>
          </w:p>
        </w:tc>
        <w:tc>
          <w:tcPr>
            <w:tcW w:w="1163" w:type="dxa"/>
            <w:gridSpan w:val="2"/>
            <w:vMerge w:val="continue"/>
            <w:tcBorders/>
            <w:vAlign w:val="center"/>
          </w:tcPr>
          <w:p>
            <w:pPr>
              <w:pStyle w:val="Intestazione"/>
              <w:jc w:val="center"/>
              <w:rPr/>
            </w:pPr>
            <w:r>
              <w:rPr/>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14, c. 1-ter,</w:t>
            </w:r>
          </w:p>
          <w:p>
            <w:pPr>
              <w:pStyle w:val="Intestazione"/>
              <w:jc w:val="center"/>
              <w:rPr/>
            </w:pPr>
            <w:r>
              <w:rPr/>
              <w:t>secondo periodo</w:t>
            </w:r>
          </w:p>
        </w:tc>
        <w:tc>
          <w:tcPr>
            <w:tcW w:w="2268" w:type="dxa"/>
            <w:vMerge w:val="continue"/>
            <w:tcBorders/>
            <w:vAlign w:val="center"/>
          </w:tcPr>
          <w:p>
            <w:pPr>
              <w:pStyle w:val="Intestazione"/>
              <w:rPr/>
            </w:pPr>
            <w:r>
              <w:rPr/>
            </w:r>
          </w:p>
        </w:tc>
        <w:tc>
          <w:tcPr>
            <w:tcW w:w="5670" w:type="dxa"/>
            <w:tcBorders/>
            <w:vAlign w:val="center"/>
          </w:tcPr>
          <w:p>
            <w:pPr>
              <w:pStyle w:val="Intestazione"/>
              <w:rPr/>
            </w:pPr>
            <w:r>
              <w:rPr/>
              <w:t>Ammontare complessivo degli emolumenti percepiti a carico della finanza pubblica</w:t>
            </w:r>
          </w:p>
        </w:tc>
        <w:tc>
          <w:tcPr>
            <w:tcW w:w="1163" w:type="dxa"/>
            <w:gridSpan w:val="2"/>
            <w:tcBorders/>
            <w:vAlign w:val="center"/>
          </w:tcPr>
          <w:p>
            <w:pPr>
              <w:pStyle w:val="Intestazione"/>
              <w:jc w:val="center"/>
              <w:rPr/>
            </w:pPr>
            <w:r>
              <w:rPr/>
              <w:t>Annuale</w:t>
            </w:r>
          </w:p>
          <w:p>
            <w:pPr>
              <w:pStyle w:val="Intestazione"/>
              <w:jc w:val="center"/>
              <w:rPr/>
            </w:pPr>
            <w:r>
              <w:rPr/>
              <w:t>(non oltre 30 marzo)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shd w:color="auto" w:fill="D9D9D9" w:themeFill="background1" w:themeFillShade="d9" w:val="clear"/>
            <w:vAlign w:val="center"/>
          </w:tcPr>
          <w:p>
            <w:pPr>
              <w:pStyle w:val="Intestazione"/>
              <w:jc w:val="center"/>
              <w:rPr/>
            </w:pPr>
            <w:r>
              <w:rPr/>
              <w:t>art. 15, c. 5</w:t>
            </w:r>
          </w:p>
        </w:tc>
        <w:tc>
          <w:tcPr>
            <w:tcW w:w="2268" w:type="dxa"/>
            <w:tcBorders/>
            <w:shd w:color="auto" w:fill="D9D9D9" w:themeFill="background1" w:themeFillShade="d9" w:val="clear"/>
            <w:vAlign w:val="center"/>
          </w:tcPr>
          <w:p>
            <w:pPr>
              <w:pStyle w:val="Intestazione"/>
              <w:rPr/>
            </w:pPr>
            <w:r>
              <w:rPr/>
              <w:t>Elenco posizioni dirigenziali discrezionali</w:t>
            </w:r>
          </w:p>
        </w:tc>
        <w:tc>
          <w:tcPr>
            <w:tcW w:w="5670" w:type="dxa"/>
            <w:tcBorders/>
            <w:shd w:color="auto" w:fill="D9D9D9" w:themeFill="background1" w:themeFillShade="d9" w:val="clear"/>
            <w:vAlign w:val="center"/>
          </w:tcPr>
          <w:p>
            <w:pPr>
              <w:pStyle w:val="Intestazione"/>
              <w:rPr/>
            </w:pPr>
            <w:r>
              <w:rPr/>
              <w:t>Elenco delle posizioni dirigenziali, integrato dai relativi titoli e curricula, attribuite a persone, anche esterne alle pubbliche amministrazioni, individuate discrezionalmente dall'organo di indirizzo politico senza procedure pubbliche di selezione</w:t>
            </w:r>
          </w:p>
        </w:tc>
        <w:tc>
          <w:tcPr>
            <w:tcW w:w="1163" w:type="dxa"/>
            <w:gridSpan w:val="2"/>
            <w:tcBorders/>
            <w:shd w:color="auto" w:fill="D9D9D9" w:themeFill="background1" w:themeFillShade="d9" w:val="clear"/>
            <w:vAlign w:val="center"/>
          </w:tcPr>
          <w:p>
            <w:pPr>
              <w:pStyle w:val="Intestazione"/>
              <w:jc w:val="center"/>
              <w:rPr/>
            </w:pPr>
            <w:r>
              <w:rPr/>
              <w:t>Dati non più soggetti a pubblicazione obbligatoria ai sensi del dlgs 97/2016</w:t>
            </w:r>
          </w:p>
        </w:tc>
        <w:tc>
          <w:tcPr>
            <w:tcW w:w="1276"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19, c. 1-bis</w:t>
            </w:r>
          </w:p>
          <w:p>
            <w:pPr>
              <w:pStyle w:val="Intestazione"/>
              <w:jc w:val="center"/>
              <w:rPr>
                <w:lang w:val="en-US"/>
              </w:rPr>
            </w:pPr>
            <w:r>
              <w:rPr>
                <w:lang w:val="en-US"/>
              </w:rPr>
              <w:t>d.lgs. 165/2001</w:t>
            </w:r>
          </w:p>
        </w:tc>
        <w:tc>
          <w:tcPr>
            <w:tcW w:w="2268" w:type="dxa"/>
            <w:tcBorders/>
            <w:vAlign w:val="center"/>
          </w:tcPr>
          <w:p>
            <w:pPr>
              <w:pStyle w:val="Intestazione"/>
              <w:rPr/>
            </w:pPr>
            <w:r>
              <w:rPr/>
              <w:t>Posti di funzioni disponibili</w:t>
            </w:r>
          </w:p>
        </w:tc>
        <w:tc>
          <w:tcPr>
            <w:tcW w:w="5670" w:type="dxa"/>
            <w:tcBorders/>
            <w:vAlign w:val="center"/>
          </w:tcPr>
          <w:p>
            <w:pPr>
              <w:pStyle w:val="Intestazione"/>
              <w:rPr/>
            </w:pPr>
            <w:r>
              <w:rPr/>
              <w:t>Numero e tipologia dei posti di funzione che si rendono disponibili nella dotazione organica e relativi criteri di scelta</w:t>
            </w:r>
          </w:p>
        </w:tc>
        <w:tc>
          <w:tcPr>
            <w:tcW w:w="1163" w:type="dxa"/>
            <w:gridSpan w:val="2"/>
            <w:tcBorders/>
            <w:vAlign w:val="center"/>
          </w:tcPr>
          <w:p>
            <w:pPr>
              <w:pStyle w:val="Intestazione"/>
              <w:jc w:val="center"/>
              <w:rPr/>
            </w:pPr>
            <w:r>
              <w:rPr/>
              <w:t>Tempestivo</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1, c. 7,</w:t>
            </w:r>
          </w:p>
          <w:p>
            <w:pPr>
              <w:pStyle w:val="Intestazione"/>
              <w:jc w:val="center"/>
              <w:rPr/>
            </w:pPr>
            <w:r>
              <w:rPr/>
              <w:t>dpr 108/2004</w:t>
            </w:r>
          </w:p>
        </w:tc>
        <w:tc>
          <w:tcPr>
            <w:tcW w:w="2268" w:type="dxa"/>
            <w:tcBorders/>
            <w:vAlign w:val="center"/>
          </w:tcPr>
          <w:p>
            <w:pPr>
              <w:pStyle w:val="Intestazione"/>
              <w:rPr/>
            </w:pPr>
            <w:r>
              <w:rPr/>
              <w:t>Ruolo dirigenti</w:t>
            </w:r>
          </w:p>
        </w:tc>
        <w:tc>
          <w:tcPr>
            <w:tcW w:w="5670" w:type="dxa"/>
            <w:tcBorders/>
            <w:vAlign w:val="center"/>
          </w:tcPr>
          <w:p>
            <w:pPr>
              <w:pStyle w:val="Intestazione"/>
              <w:rPr/>
            </w:pPr>
            <w:r>
              <w:rPr/>
              <w:t>Ruolo dei dirigenti</w:t>
            </w:r>
          </w:p>
        </w:tc>
        <w:tc>
          <w:tcPr>
            <w:tcW w:w="1163" w:type="dxa"/>
            <w:gridSpan w:val="2"/>
            <w:tcBorders/>
            <w:vAlign w:val="center"/>
          </w:tcPr>
          <w:p>
            <w:pPr>
              <w:pStyle w:val="Intestazione"/>
              <w:jc w:val="center"/>
              <w:rPr/>
            </w:pPr>
            <w:r>
              <w:rPr/>
              <w:t>Annuale</w:t>
            </w:r>
          </w:p>
        </w:tc>
        <w:tc>
          <w:tcPr>
            <w:tcW w:w="1276"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jc w:val="center"/>
              <w:rPr>
                <w:b/>
                <w:b/>
              </w:rPr>
            </w:pPr>
            <w:r>
              <w:rPr>
                <w:b/>
              </w:rPr>
              <w:t>Dirigenti cessati</w:t>
            </w:r>
          </w:p>
        </w:tc>
        <w:tc>
          <w:tcPr>
            <w:tcW w:w="1134" w:type="dxa"/>
            <w:tcBorders/>
            <w:vAlign w:val="center"/>
          </w:tcPr>
          <w:p>
            <w:pPr>
              <w:pStyle w:val="Intestazione"/>
              <w:jc w:val="center"/>
              <w:rPr>
                <w:lang w:val="en-GB"/>
              </w:rPr>
            </w:pPr>
            <w:r>
              <w:rPr>
                <w:lang w:val="en-GB"/>
              </w:rPr>
              <w:t>art. 14, c. 1, lett. a)</w:t>
            </w:r>
          </w:p>
          <w:p>
            <w:pPr>
              <w:pStyle w:val="Intestazione"/>
              <w:jc w:val="center"/>
              <w:rPr>
                <w:lang w:val="en-GB"/>
              </w:rPr>
            </w:pPr>
            <w:r>
              <w:rPr>
                <w:lang w:val="en-GB"/>
              </w:rPr>
              <w:t>e c. 1-bis</w:t>
            </w:r>
          </w:p>
        </w:tc>
        <w:tc>
          <w:tcPr>
            <w:tcW w:w="2268" w:type="dxa"/>
            <w:vMerge w:val="restart"/>
            <w:tcBorders/>
            <w:vAlign w:val="center"/>
          </w:tcPr>
          <w:p>
            <w:pPr>
              <w:pStyle w:val="Intestazione"/>
              <w:jc w:val="center"/>
              <w:rPr/>
            </w:pPr>
            <w:r>
              <w:rPr/>
              <w:t>Dirigenti cessati dal rapporto di lavoro</w:t>
            </w:r>
          </w:p>
          <w:p>
            <w:pPr>
              <w:pStyle w:val="Intestazione"/>
              <w:jc w:val="center"/>
              <w:rPr/>
            </w:pPr>
            <w:r>
              <w:rPr/>
            </w:r>
          </w:p>
          <w:p>
            <w:pPr>
              <w:pStyle w:val="Intestazione"/>
              <w:jc w:val="center"/>
              <w:rPr/>
            </w:pPr>
            <w:r>
              <w:rPr/>
              <w:t>(documentazione da pubblicare</w:t>
            </w:r>
          </w:p>
          <w:p>
            <w:pPr>
              <w:pStyle w:val="Intestazione"/>
              <w:jc w:val="center"/>
              <w:rPr/>
            </w:pPr>
            <w:r>
              <w:rPr/>
              <w:t>sul sito web)</w:t>
            </w:r>
          </w:p>
        </w:tc>
        <w:tc>
          <w:tcPr>
            <w:tcW w:w="5670" w:type="dxa"/>
            <w:tcBorders/>
            <w:vAlign w:val="center"/>
          </w:tcPr>
          <w:p>
            <w:pPr>
              <w:pStyle w:val="Intestazione"/>
              <w:rPr/>
            </w:pPr>
            <w:r>
              <w:rPr/>
              <w:t>Atto di nomina o di proclamazione, con l'indicazione della durata dell'incarico o del mandato elettivo</w:t>
            </w:r>
          </w:p>
        </w:tc>
        <w:tc>
          <w:tcPr>
            <w:tcW w:w="1134" w:type="dxa"/>
            <w:vMerge w:val="restart"/>
            <w:tcBorders/>
            <w:vAlign w:val="center"/>
          </w:tcPr>
          <w:p>
            <w:pPr>
              <w:pStyle w:val="Intestazione"/>
              <w:jc w:val="center"/>
              <w:rPr/>
            </w:pPr>
            <w:r>
              <w:rPr/>
              <w:t>Nessuno</w:t>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b)</w:t>
            </w:r>
          </w:p>
          <w:p>
            <w:pPr>
              <w:pStyle w:val="Intestazione"/>
              <w:jc w:val="center"/>
              <w:rPr>
                <w:lang w:val="en-GB"/>
              </w:rPr>
            </w:pPr>
            <w:r>
              <w:rPr>
                <w:lang w:val="en-GB"/>
              </w:rPr>
              <w:t>e c. 1-bis</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rPr>
                <w:lang w:val="en-GB"/>
              </w:rPr>
            </w:pPr>
            <w:r>
              <w:rPr>
                <w:lang w:val="en-GB"/>
              </w:rPr>
              <w:t>Curriculum vitae</w:t>
            </w:r>
          </w:p>
        </w:tc>
        <w:tc>
          <w:tcPr>
            <w:tcW w:w="1134" w:type="dxa"/>
            <w:vMerge w:val="continue"/>
            <w:tcBorders/>
            <w:vAlign w:val="center"/>
          </w:tcPr>
          <w:p>
            <w:pPr>
              <w:pStyle w:val="Intestazione"/>
              <w:jc w:val="center"/>
              <w:rPr>
                <w:lang w:val="en-GB"/>
              </w:rPr>
            </w:pPr>
            <w:r>
              <w:rPr>
                <w:lang w:val="en-GB"/>
              </w:rPr>
            </w:r>
          </w:p>
        </w:tc>
        <w:tc>
          <w:tcPr>
            <w:tcW w:w="1305" w:type="dxa"/>
            <w:gridSpan w:val="2"/>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vMerge w:val="continue"/>
            <w:tcBorders/>
            <w:vAlign w:val="center"/>
          </w:tcPr>
          <w:p>
            <w:pPr>
              <w:pStyle w:val="Intestazione"/>
              <w:jc w:val="center"/>
              <w:rPr>
                <w:b/>
                <w:b/>
                <w:lang w:val="en-GB"/>
              </w:rPr>
            </w:pPr>
            <w:r>
              <w:rPr>
                <w:b/>
                <w:lang w:val="en-GB"/>
              </w:rPr>
            </w:r>
          </w:p>
        </w:tc>
        <w:tc>
          <w:tcPr>
            <w:tcW w:w="1134" w:type="dxa"/>
            <w:vMerge w:val="restart"/>
            <w:tcBorders/>
            <w:vAlign w:val="center"/>
          </w:tcPr>
          <w:p>
            <w:pPr>
              <w:pStyle w:val="Intestazione"/>
              <w:jc w:val="center"/>
              <w:rPr>
                <w:lang w:val="en-GB"/>
              </w:rPr>
            </w:pPr>
            <w:r>
              <w:rPr>
                <w:lang w:val="en-GB"/>
              </w:rPr>
              <w:t>art. 14, c. 1, lett. c)</w:t>
            </w:r>
          </w:p>
          <w:p>
            <w:pPr>
              <w:pStyle w:val="Intestazione"/>
              <w:jc w:val="center"/>
              <w:rPr>
                <w:lang w:val="en-GB"/>
              </w:rPr>
            </w:pPr>
            <w:r>
              <w:rPr>
                <w:lang w:val="en-GB"/>
              </w:rPr>
              <w:t>e c. 1-bis</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rPr/>
            </w:pPr>
            <w:r>
              <w:rPr/>
              <w:t>Compensi di qualsiasi natura connessi all'assunzione della carica</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Importi di viaggi di servizio e missioni pagati con fondi pubblici</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d)</w:t>
            </w:r>
          </w:p>
          <w:p>
            <w:pPr>
              <w:pStyle w:val="Intestazione"/>
              <w:jc w:val="center"/>
              <w:rPr>
                <w:lang w:val="en-GB"/>
              </w:rPr>
            </w:pPr>
            <w:r>
              <w:rPr>
                <w:lang w:val="en-GB"/>
              </w:rPr>
              <w:t>e c. 1-bis</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rPr/>
            </w:pPr>
            <w:r>
              <w:rPr/>
              <w:t>Dati relativi all'assunzione di altre cariche, presso enti pubblici o privati, e relativi compensi a qualsiasi titolo corrisposti</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14, c. 1, lett. e)</w:t>
            </w:r>
          </w:p>
          <w:p>
            <w:pPr>
              <w:pStyle w:val="Intestazione"/>
              <w:jc w:val="center"/>
              <w:rPr/>
            </w:pPr>
            <w:r>
              <w:rPr/>
              <w:t>e c. 1-bis</w:t>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Altri eventuali incarichi con  oneri a carico della finanza pubblica e indicazione dei compensi spettanti</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f)</w:t>
            </w:r>
          </w:p>
          <w:p>
            <w:pPr>
              <w:pStyle w:val="Intestazione"/>
              <w:jc w:val="center"/>
              <w:rPr>
                <w:lang w:val="en-GB"/>
              </w:rPr>
            </w:pPr>
            <w:r>
              <w:rPr>
                <w:lang w:val="en-GB"/>
              </w:rPr>
              <w:t>e c. 1-bis ;</w:t>
            </w:r>
          </w:p>
          <w:p>
            <w:pPr>
              <w:pStyle w:val="Intestazione"/>
              <w:jc w:val="center"/>
              <w:rPr/>
            </w:pPr>
            <w:r>
              <w:rPr/>
              <w:t>art. 2, c. 1, p.2,</w:t>
            </w:r>
          </w:p>
          <w:p>
            <w:pPr>
              <w:pStyle w:val="Intestazione"/>
              <w:jc w:val="center"/>
              <w:rPr/>
            </w:pPr>
            <w:r>
              <w:rPr/>
              <w:t>legge 441/1982</w:t>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1) copie delle dichiarazioni dei redditi riferiti al periodo dell'incarico; 2) copia della dichiarazione dei redditi successiva al termine dell'incarico o carica, entro un mese dalla scadenza del termine di legge per la presentazione della dichairazione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14, c. 1, lett. f)</w:t>
            </w:r>
          </w:p>
          <w:p>
            <w:pPr>
              <w:pStyle w:val="Intestazione"/>
              <w:jc w:val="center"/>
              <w:rPr>
                <w:lang w:val="en-GB"/>
              </w:rPr>
            </w:pPr>
            <w:r>
              <w:rPr>
                <w:lang w:val="en-GB"/>
              </w:rPr>
              <w:t>e c. 1-bis ;</w:t>
            </w:r>
          </w:p>
          <w:p>
            <w:pPr>
              <w:pStyle w:val="Intestazione"/>
              <w:jc w:val="center"/>
              <w:rPr/>
            </w:pPr>
            <w:r>
              <w:rPr/>
              <w:t>art. 4</w:t>
            </w:r>
          </w:p>
          <w:p>
            <w:pPr>
              <w:pStyle w:val="Intestazione"/>
              <w:jc w:val="center"/>
              <w:rPr/>
            </w:pPr>
            <w:r>
              <w:rPr/>
              <w:t>legge 441/1982</w:t>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3) dichiarazione concernente le variazioni della situazione patrimoniale intervenute dopo l'ultima attestazione [Per il soggetto, il coniuge non separato e i parenti entro il secondo grado, ove gli stessi vi consentano (NB: dando eventualmente evidenza del mancato consenso)]</w:t>
            </w:r>
          </w:p>
        </w:tc>
        <w:tc>
          <w:tcPr>
            <w:tcW w:w="1134" w:type="dxa"/>
            <w:tcBorders/>
            <w:vAlign w:val="center"/>
          </w:tcPr>
          <w:p>
            <w:pPr>
              <w:pStyle w:val="Intestazione"/>
              <w:jc w:val="center"/>
              <w:rPr/>
            </w:pPr>
            <w:r>
              <w:rPr/>
              <w:t>Nessuno</w:t>
            </w:r>
          </w:p>
          <w:p>
            <w:pPr>
              <w:pStyle w:val="Intestazione"/>
              <w:jc w:val="center"/>
              <w:rPr/>
            </w:pPr>
            <w:r>
              <w:rPr/>
              <w:t>(va presentata una sola volta entro 3 mesi dalla cessazione dell'incarico)</w:t>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Normal"/>
              <w:jc w:val="center"/>
              <w:rPr>
                <w:b/>
                <w:b/>
              </w:rPr>
            </w:pPr>
            <w:r>
              <w:rPr>
                <w:b/>
              </w:rPr>
              <w:t>Sanzioni per mancata comunicazione dei dati</w:t>
            </w:r>
          </w:p>
        </w:tc>
        <w:tc>
          <w:tcPr>
            <w:tcW w:w="1134" w:type="dxa"/>
            <w:tcBorders/>
            <w:vAlign w:val="center"/>
          </w:tcPr>
          <w:p>
            <w:pPr>
              <w:pStyle w:val="Normal"/>
              <w:jc w:val="center"/>
              <w:rPr/>
            </w:pPr>
            <w:r>
              <w:rPr/>
              <w:t>art. 47, c. 1</w:t>
            </w:r>
          </w:p>
        </w:tc>
        <w:tc>
          <w:tcPr>
            <w:tcW w:w="2268" w:type="dxa"/>
            <w:tcBorders/>
            <w:vAlign w:val="center"/>
          </w:tcPr>
          <w:p>
            <w:pPr>
              <w:pStyle w:val="Normal"/>
              <w:jc w:val="center"/>
              <w:rPr/>
            </w:pPr>
            <w:r>
              <w:rPr/>
              <w:t>Sanzioni per mancata o incompleta comunicazione dei dati da parte dei titolari di incarichi dirigenziali</w:t>
            </w:r>
          </w:p>
        </w:tc>
        <w:tc>
          <w:tcPr>
            <w:tcW w:w="5670" w:type="dxa"/>
            <w:tcBorders/>
            <w:vAlign w:val="center"/>
          </w:tcPr>
          <w:p>
            <w:pPr>
              <w:pStyle w:val="Normal"/>
              <w:rPr/>
            </w:pPr>
            <w:r>
              <w:rPr/>
              <w:t>Provvedimenti sanzionatori a carico del responsabile della mancata o incompleta comunicazione dei dati di cui all'articolo 14, concernenti la situazione patrimoniale complessiva del titolare dell'incarico al momento dell'assunzione della carica, la titolarità di imprese, le partecipazioni azionarie proprie nonchè tutti i compensi cui dà diritto l'assuzione della carica</w:t>
            </w:r>
          </w:p>
        </w:tc>
        <w:tc>
          <w:tcPr>
            <w:tcW w:w="1134" w:type="dxa"/>
            <w:vMerge w:val="restart"/>
            <w:tcBorders/>
            <w:vAlign w:val="center"/>
          </w:tcPr>
          <w:p>
            <w:pPr>
              <w:pStyle w:val="Normal"/>
              <w:jc w:val="center"/>
              <w:rPr/>
            </w:pPr>
            <w:r>
              <w:rPr/>
              <w:t>Tempestivo</w:t>
            </w:r>
          </w:p>
          <w:p>
            <w:pPr>
              <w:pStyle w:val="Normal"/>
              <w:rPr/>
            </w:pPr>
            <w:r>
              <w:rPr/>
              <w:t>art. 8, d.lgs.33/2013</w:t>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Normal"/>
              <w:jc w:val="center"/>
              <w:rPr>
                <w:b/>
                <w:b/>
              </w:rPr>
            </w:pPr>
            <w:r>
              <w:rPr>
                <w:b/>
              </w:rPr>
              <w:t>Posizioni organizzative</w:t>
            </w:r>
          </w:p>
        </w:tc>
        <w:tc>
          <w:tcPr>
            <w:tcW w:w="1134" w:type="dxa"/>
            <w:tcBorders/>
            <w:vAlign w:val="center"/>
          </w:tcPr>
          <w:p>
            <w:pPr>
              <w:pStyle w:val="Normal"/>
              <w:jc w:val="center"/>
              <w:rPr>
                <w:lang w:val="en-GB"/>
              </w:rPr>
            </w:pPr>
            <w:r>
              <w:rPr>
                <w:lang w:val="en-GB"/>
              </w:rPr>
              <w:t xml:space="preserve">art. 14, </w:t>
            </w:r>
          </w:p>
          <w:p>
            <w:pPr>
              <w:pStyle w:val="Normal"/>
              <w:jc w:val="center"/>
              <w:rPr>
                <w:lang w:val="en-GB"/>
              </w:rPr>
            </w:pPr>
            <w:r>
              <w:rPr>
                <w:lang w:val="en-GB"/>
              </w:rPr>
              <w:t xml:space="preserve">c. 1-quinquies. </w:t>
            </w:r>
          </w:p>
        </w:tc>
        <w:tc>
          <w:tcPr>
            <w:tcW w:w="2268" w:type="dxa"/>
            <w:tcBorders/>
            <w:vAlign w:val="center"/>
          </w:tcPr>
          <w:p>
            <w:pPr>
              <w:pStyle w:val="Normal"/>
              <w:jc w:val="center"/>
              <w:rPr/>
            </w:pPr>
            <w:r>
              <w:rPr/>
              <w:t>Posizioni organizzative</w:t>
            </w:r>
          </w:p>
        </w:tc>
        <w:tc>
          <w:tcPr>
            <w:tcW w:w="5670" w:type="dxa"/>
            <w:tcBorders/>
            <w:vAlign w:val="center"/>
          </w:tcPr>
          <w:p>
            <w:pPr>
              <w:pStyle w:val="Normal"/>
              <w:rPr/>
            </w:pPr>
            <w:r>
              <w:rPr/>
              <w:t>Curricula dei titolari di posizioni organizzative redatti in conformità al vigente modello europeo</w:t>
            </w:r>
          </w:p>
        </w:tc>
        <w:tc>
          <w:tcPr>
            <w:tcW w:w="1134" w:type="dxa"/>
            <w:vMerge w:val="continue"/>
            <w:tcBorders/>
            <w:vAlign w:val="center"/>
          </w:tcPr>
          <w:p>
            <w:pPr>
              <w:pStyle w:val="Normal"/>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Normal"/>
              <w:jc w:val="center"/>
              <w:rPr>
                <w:b/>
                <w:b/>
              </w:rPr>
            </w:pPr>
            <w:r>
              <w:rPr>
                <w:b/>
              </w:rPr>
              <w:t>Dotazione organica</w:t>
            </w:r>
          </w:p>
        </w:tc>
        <w:tc>
          <w:tcPr>
            <w:tcW w:w="1134" w:type="dxa"/>
            <w:tcBorders/>
            <w:vAlign w:val="center"/>
          </w:tcPr>
          <w:p>
            <w:pPr>
              <w:pStyle w:val="Normal"/>
              <w:jc w:val="center"/>
              <w:rPr/>
            </w:pPr>
            <w:r>
              <w:rPr/>
              <w:t>art. 16, c. 1,</w:t>
            </w:r>
          </w:p>
        </w:tc>
        <w:tc>
          <w:tcPr>
            <w:tcW w:w="2268" w:type="dxa"/>
            <w:tcBorders/>
            <w:vAlign w:val="center"/>
          </w:tcPr>
          <w:p>
            <w:pPr>
              <w:pStyle w:val="Normal"/>
              <w:jc w:val="center"/>
              <w:rPr/>
            </w:pPr>
            <w:r>
              <w:rPr/>
              <w:t>Conto annuale del personale</w:t>
            </w:r>
          </w:p>
        </w:tc>
        <w:tc>
          <w:tcPr>
            <w:tcW w:w="5670" w:type="dxa"/>
            <w:tcBorders/>
            <w:vAlign w:val="center"/>
          </w:tcPr>
          <w:p>
            <w:pPr>
              <w:pStyle w:val="Normal"/>
              <w:rPr/>
            </w:pPr>
            <w:r>
              <w:rPr/>
              <w:t xml:space="preserve">Conto annuale del personale e relative spese sostenute, nell'ambito del quale sono rappresentati i dati relativi alla dotazione organica e al personale effettivamente in servizio e al relativo costo, con l'indicazione della distribuzione tra le diverse qualifiche e aree professionali, con particolare riguardo al personale assegnato agli uffici di diretta collaborazione con gli organi di indirizzo politico </w:t>
            </w:r>
          </w:p>
        </w:tc>
        <w:tc>
          <w:tcPr>
            <w:tcW w:w="1134" w:type="dxa"/>
            <w:vMerge w:val="restart"/>
            <w:tcBorders/>
            <w:vAlign w:val="center"/>
          </w:tcPr>
          <w:p>
            <w:pPr>
              <w:pStyle w:val="Normal"/>
              <w:jc w:val="center"/>
              <w:rPr>
                <w:lang w:val="en-GB"/>
              </w:rPr>
            </w:pPr>
            <w:r>
              <w:rPr>
                <w:lang w:val="en-GB"/>
              </w:rPr>
              <w:t>Annuale</w:t>
            </w:r>
          </w:p>
          <w:p>
            <w:pPr>
              <w:pStyle w:val="Normal"/>
              <w:jc w:val="center"/>
              <w:rPr>
                <w:lang w:val="en-GB"/>
              </w:rPr>
            </w:pPr>
            <w:r>
              <w:rPr>
                <w:lang w:val="en-GB"/>
              </w:rPr>
              <w:t>art. 17, c. 1,</w:t>
            </w:r>
          </w:p>
          <w:p>
            <w:pPr>
              <w:pStyle w:val="Normal"/>
              <w:jc w:val="center"/>
              <w:rPr>
                <w:lang w:val="en-GB"/>
              </w:rPr>
            </w:pPr>
            <w:r>
              <w:rPr>
                <w:lang w:val="en-GB"/>
              </w:rPr>
              <w:t>d.lgs. n.33/2013</w:t>
            </w:r>
          </w:p>
        </w:tc>
        <w:tc>
          <w:tcPr>
            <w:tcW w:w="1305" w:type="dxa"/>
            <w:gridSpan w:val="2"/>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vMerge w:val="continue"/>
            <w:tcBorders/>
            <w:vAlign w:val="center"/>
          </w:tcPr>
          <w:p>
            <w:pPr>
              <w:pStyle w:val="Normal"/>
              <w:jc w:val="center"/>
              <w:rPr>
                <w:b/>
                <w:b/>
                <w:lang w:val="en-GB"/>
              </w:rPr>
            </w:pPr>
            <w:r>
              <w:rPr>
                <w:b/>
                <w:lang w:val="en-GB"/>
              </w:rPr>
            </w:r>
          </w:p>
        </w:tc>
        <w:tc>
          <w:tcPr>
            <w:tcW w:w="1134" w:type="dxa"/>
            <w:tcBorders/>
            <w:vAlign w:val="center"/>
          </w:tcPr>
          <w:p>
            <w:pPr>
              <w:pStyle w:val="Normal"/>
              <w:jc w:val="center"/>
              <w:rPr/>
            </w:pPr>
            <w:r>
              <w:rPr/>
              <w:t>art. 16, c. 2</w:t>
            </w:r>
          </w:p>
        </w:tc>
        <w:tc>
          <w:tcPr>
            <w:tcW w:w="2268" w:type="dxa"/>
            <w:tcBorders/>
            <w:vAlign w:val="center"/>
          </w:tcPr>
          <w:p>
            <w:pPr>
              <w:pStyle w:val="Normal"/>
              <w:jc w:val="center"/>
              <w:rPr/>
            </w:pPr>
            <w:r>
              <w:rPr/>
              <w:t>Costo personale tempo indeterminato</w:t>
            </w:r>
          </w:p>
        </w:tc>
        <w:tc>
          <w:tcPr>
            <w:tcW w:w="5670" w:type="dxa"/>
            <w:tcBorders/>
            <w:vAlign w:val="center"/>
          </w:tcPr>
          <w:p>
            <w:pPr>
              <w:pStyle w:val="Normal"/>
              <w:rPr/>
            </w:pPr>
            <w:r>
              <w:rPr/>
              <w:t>Costo complessivo del personale a tempo indeterminato in servizio, articolato per aree professionali, con particolare riguardo al personale assegnato agli uffici di diretta collaborazione con gli organi di indirizzo politico</w:t>
            </w:r>
          </w:p>
        </w:tc>
        <w:tc>
          <w:tcPr>
            <w:tcW w:w="1134" w:type="dxa"/>
            <w:vMerge w:val="continue"/>
            <w:tcBorders/>
            <w:vAlign w:val="center"/>
          </w:tcPr>
          <w:p>
            <w:pPr>
              <w:pStyle w:val="Normal"/>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Normal"/>
              <w:jc w:val="center"/>
              <w:rPr>
                <w:b/>
                <w:b/>
              </w:rPr>
            </w:pPr>
            <w:r>
              <w:rPr>
                <w:b/>
              </w:rPr>
              <w:t>Personale non a tempo</w:t>
            </w:r>
          </w:p>
          <w:p>
            <w:pPr>
              <w:pStyle w:val="Normal"/>
              <w:jc w:val="center"/>
              <w:rPr>
                <w:b/>
                <w:b/>
              </w:rPr>
            </w:pPr>
            <w:r>
              <w:rPr>
                <w:b/>
              </w:rPr>
              <w:t>indeterminato</w:t>
            </w:r>
          </w:p>
        </w:tc>
        <w:tc>
          <w:tcPr>
            <w:tcW w:w="1134" w:type="dxa"/>
            <w:tcBorders/>
            <w:vAlign w:val="center"/>
          </w:tcPr>
          <w:p>
            <w:pPr>
              <w:pStyle w:val="Normal"/>
              <w:jc w:val="center"/>
              <w:rPr/>
            </w:pPr>
            <w:r>
              <w:rPr/>
              <w:t>art. 17, c. 1</w:t>
            </w:r>
          </w:p>
        </w:tc>
        <w:tc>
          <w:tcPr>
            <w:tcW w:w="2268" w:type="dxa"/>
            <w:tcBorders/>
            <w:vAlign w:val="center"/>
          </w:tcPr>
          <w:p>
            <w:pPr>
              <w:pStyle w:val="Normal"/>
              <w:jc w:val="center"/>
              <w:rPr/>
            </w:pPr>
            <w:r>
              <w:rPr/>
              <w:t>Personale non a tempo indeterminato</w:t>
            </w:r>
          </w:p>
          <w:p>
            <w:pPr>
              <w:pStyle w:val="Normal"/>
              <w:jc w:val="center"/>
              <w:rPr/>
            </w:pPr>
            <w:r>
              <w:rPr/>
              <w:t>(da pubblicare in tabelle)</w:t>
            </w:r>
          </w:p>
        </w:tc>
        <w:tc>
          <w:tcPr>
            <w:tcW w:w="5670" w:type="dxa"/>
            <w:tcBorders/>
            <w:vAlign w:val="center"/>
          </w:tcPr>
          <w:p>
            <w:pPr>
              <w:pStyle w:val="Normal"/>
              <w:rPr/>
            </w:pPr>
            <w:r>
              <w:rPr/>
              <w:t>Personale con rapporto di lavoro non a tempo indeterminato, ivi compreso il personale assegnato agli uffici di diretta collaborazione con gli organi di indirizzo politico</w:t>
            </w:r>
          </w:p>
        </w:tc>
        <w:tc>
          <w:tcPr>
            <w:tcW w:w="1134" w:type="dxa"/>
            <w:vMerge w:val="continue"/>
            <w:tcBorders/>
            <w:vAlign w:val="center"/>
          </w:tcPr>
          <w:p>
            <w:pPr>
              <w:pStyle w:val="Normal"/>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Normal"/>
              <w:jc w:val="center"/>
              <w:rPr>
                <w:b/>
                <w:b/>
              </w:rPr>
            </w:pPr>
            <w:r>
              <w:rPr>
                <w:b/>
              </w:rPr>
            </w:r>
          </w:p>
        </w:tc>
        <w:tc>
          <w:tcPr>
            <w:tcW w:w="1134" w:type="dxa"/>
            <w:tcBorders/>
            <w:vAlign w:val="center"/>
          </w:tcPr>
          <w:p>
            <w:pPr>
              <w:pStyle w:val="Normal"/>
              <w:jc w:val="center"/>
              <w:rPr>
                <w:lang w:val="en-GB"/>
              </w:rPr>
            </w:pPr>
            <w:r>
              <w:rPr/>
              <w:t>art. 17, c. 2</w:t>
            </w:r>
          </w:p>
        </w:tc>
        <w:tc>
          <w:tcPr>
            <w:tcW w:w="2268" w:type="dxa"/>
            <w:tcBorders/>
            <w:vAlign w:val="center"/>
          </w:tcPr>
          <w:p>
            <w:pPr>
              <w:pStyle w:val="Normal"/>
              <w:jc w:val="center"/>
              <w:rPr/>
            </w:pPr>
            <w:r>
              <w:rPr/>
              <w:t>Costo del personale non a tempo indeterminato</w:t>
            </w:r>
          </w:p>
          <w:p>
            <w:pPr>
              <w:pStyle w:val="Normal"/>
              <w:jc w:val="center"/>
              <w:rPr/>
            </w:pPr>
            <w:r>
              <w:rPr/>
              <w:t>(da pubblicare in tabelle)</w:t>
            </w:r>
          </w:p>
        </w:tc>
        <w:tc>
          <w:tcPr>
            <w:tcW w:w="5670" w:type="dxa"/>
            <w:tcBorders/>
            <w:vAlign w:val="center"/>
          </w:tcPr>
          <w:p>
            <w:pPr>
              <w:pStyle w:val="Normal"/>
              <w:rPr/>
            </w:pPr>
            <w:r>
              <w:rPr/>
              <w:t>Costo complessivo del personale non  a tempo indeterminato in servizio, con particolare riguardo al personale assegnato agli uffici di diretta collaborazione con gli organi di indirizzo politico</w:t>
            </w:r>
          </w:p>
        </w:tc>
        <w:tc>
          <w:tcPr>
            <w:tcW w:w="1134" w:type="dxa"/>
            <w:vMerge w:val="restart"/>
            <w:tcBorders/>
            <w:vAlign w:val="center"/>
          </w:tcPr>
          <w:p>
            <w:pPr>
              <w:pStyle w:val="Normal"/>
              <w:jc w:val="center"/>
              <w:rPr/>
            </w:pPr>
            <w:r>
              <w:rPr/>
              <w:t>Trimestrale</w:t>
            </w:r>
          </w:p>
          <w:p>
            <w:pPr>
              <w:pStyle w:val="Normal"/>
              <w:jc w:val="center"/>
              <w:rPr/>
            </w:pPr>
            <w:r>
              <w:rPr/>
              <w:t>art. 16, c. 3,</w:t>
            </w:r>
          </w:p>
          <w:p>
            <w:pPr>
              <w:pStyle w:val="Normal"/>
              <w:jc w:val="center"/>
              <w:rPr/>
            </w:pPr>
            <w:r>
              <w:rPr/>
              <w:t>d.lgs. n.33/2013</w:t>
            </w:r>
          </w:p>
        </w:tc>
        <w:tc>
          <w:tcPr>
            <w:tcW w:w="1305" w:type="dxa"/>
            <w:gridSpan w:val="2"/>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Normal"/>
              <w:jc w:val="center"/>
              <w:rPr>
                <w:b/>
                <w:b/>
              </w:rPr>
            </w:pPr>
            <w:r>
              <w:rPr>
                <w:b/>
              </w:rPr>
              <w:t>Tassi di assenza</w:t>
            </w:r>
          </w:p>
        </w:tc>
        <w:tc>
          <w:tcPr>
            <w:tcW w:w="1134" w:type="dxa"/>
            <w:tcBorders/>
            <w:vAlign w:val="center"/>
          </w:tcPr>
          <w:p>
            <w:pPr>
              <w:pStyle w:val="Normal"/>
              <w:rPr/>
            </w:pPr>
            <w:r>
              <w:rPr/>
              <w:t>art. 16, c. 3</w:t>
            </w:r>
          </w:p>
        </w:tc>
        <w:tc>
          <w:tcPr>
            <w:tcW w:w="2268" w:type="dxa"/>
            <w:tcBorders/>
            <w:vAlign w:val="center"/>
          </w:tcPr>
          <w:p>
            <w:pPr>
              <w:pStyle w:val="Normal"/>
              <w:jc w:val="center"/>
              <w:rPr/>
            </w:pPr>
            <w:r>
              <w:rPr/>
              <w:t>Tassi di assenza trimestrali</w:t>
            </w:r>
          </w:p>
        </w:tc>
        <w:tc>
          <w:tcPr>
            <w:tcW w:w="5670" w:type="dxa"/>
            <w:tcBorders/>
            <w:vAlign w:val="center"/>
          </w:tcPr>
          <w:p>
            <w:pPr>
              <w:pStyle w:val="Normal"/>
              <w:rPr/>
            </w:pPr>
            <w:r>
              <w:rPr/>
              <w:t>Tassi di assenza del personale distinti per uffici di livello dirigenziale</w:t>
            </w:r>
          </w:p>
        </w:tc>
        <w:tc>
          <w:tcPr>
            <w:tcW w:w="1134" w:type="dxa"/>
            <w:vMerge w:val="continue"/>
            <w:tcBorders/>
            <w:vAlign w:val="center"/>
          </w:tcPr>
          <w:p>
            <w:pPr>
              <w:pStyle w:val="Normal"/>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Normal"/>
              <w:jc w:val="center"/>
              <w:rPr>
                <w:b/>
                <w:b/>
              </w:rPr>
            </w:pPr>
            <w:r>
              <w:rPr>
                <w:b/>
              </w:rPr>
              <w:t xml:space="preserve">Incarichi conferiti e autorizzati ai dipendenti </w:t>
            </w:r>
          </w:p>
          <w:p>
            <w:pPr>
              <w:pStyle w:val="Normal"/>
              <w:jc w:val="center"/>
              <w:rPr>
                <w:b/>
                <w:b/>
              </w:rPr>
            </w:pPr>
            <w:r>
              <w:rPr>
                <w:b/>
              </w:rPr>
              <w:t>(dirigenti e non dirigenti)</w:t>
            </w:r>
          </w:p>
        </w:tc>
        <w:tc>
          <w:tcPr>
            <w:tcW w:w="1134" w:type="dxa"/>
            <w:vMerge w:val="restart"/>
            <w:tcBorders/>
            <w:vAlign w:val="center"/>
          </w:tcPr>
          <w:p>
            <w:pPr>
              <w:pStyle w:val="Normal"/>
              <w:jc w:val="center"/>
              <w:rPr>
                <w:lang w:val="en-GB"/>
              </w:rPr>
            </w:pPr>
            <w:r>
              <w:rPr>
                <w:lang w:val="en-GB"/>
              </w:rPr>
              <w:t>art. 18</w:t>
            </w:r>
          </w:p>
          <w:p>
            <w:pPr>
              <w:pStyle w:val="Normal"/>
              <w:jc w:val="center"/>
              <w:rPr>
                <w:lang w:val="en-GB"/>
              </w:rPr>
            </w:pPr>
            <w:r>
              <w:rPr>
                <w:lang w:val="en-GB"/>
              </w:rPr>
              <w:t>d.lgs. 33/2013</w:t>
            </w:r>
          </w:p>
        </w:tc>
        <w:tc>
          <w:tcPr>
            <w:tcW w:w="2268" w:type="dxa"/>
            <w:tcBorders/>
            <w:vAlign w:val="center"/>
          </w:tcPr>
          <w:p>
            <w:pPr>
              <w:pStyle w:val="Normal"/>
              <w:jc w:val="center"/>
              <w:rPr/>
            </w:pPr>
            <w:r>
              <w:rPr/>
              <w:t>Incarichi conferiti e autorizzati ai dipendenti (dirigenti e non dirigenti)</w:t>
            </w:r>
          </w:p>
        </w:tc>
        <w:tc>
          <w:tcPr>
            <w:tcW w:w="5670" w:type="dxa"/>
            <w:tcBorders/>
            <w:vAlign w:val="center"/>
          </w:tcPr>
          <w:p>
            <w:pPr>
              <w:pStyle w:val="Normal"/>
              <w:rPr/>
            </w:pPr>
            <w:r>
              <w:rPr/>
              <w:t>Elenco degli incarichi conferiti o autorizzati a ciascun dipendente (dirigente e non dirigente), con l'indicazione dell'oggetto, della durata e del compenso spettante per ogni incarico</w:t>
            </w:r>
          </w:p>
        </w:tc>
        <w:tc>
          <w:tcPr>
            <w:tcW w:w="1134" w:type="dxa"/>
            <w:tcBorders/>
            <w:vAlign w:val="center"/>
          </w:tcPr>
          <w:p>
            <w:pPr>
              <w:pStyle w:val="Normal"/>
              <w:jc w:val="center"/>
              <w:rPr/>
            </w:pPr>
            <w:r>
              <w:rPr/>
              <w:t>Tempestivo</w:t>
            </w:r>
          </w:p>
          <w:p>
            <w:pPr>
              <w:pStyle w:val="Normal"/>
              <w:jc w:val="center"/>
              <w:rPr/>
            </w:pPr>
            <w:r>
              <w:rPr/>
              <w:t>art. 8 d.lgs. 33/2013</w:t>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Normal"/>
              <w:jc w:val="center"/>
              <w:rPr>
                <w:b/>
                <w:b/>
              </w:rPr>
            </w:pPr>
            <w:r>
              <w:rPr>
                <w:b/>
              </w:rPr>
            </w:r>
          </w:p>
        </w:tc>
        <w:tc>
          <w:tcPr>
            <w:tcW w:w="1134" w:type="dxa"/>
            <w:vMerge w:val="continue"/>
            <w:tcBorders/>
            <w:vAlign w:val="center"/>
          </w:tcPr>
          <w:p>
            <w:pPr>
              <w:pStyle w:val="Normal"/>
              <w:jc w:val="center"/>
              <w:rPr>
                <w:lang w:val="en-GB"/>
              </w:rPr>
            </w:pPr>
            <w:r>
              <w:rPr>
                <w:lang w:val="en-GB"/>
              </w:rPr>
            </w:r>
          </w:p>
        </w:tc>
        <w:tc>
          <w:tcPr>
            <w:tcW w:w="2268" w:type="dxa"/>
            <w:tcBorders/>
            <w:vAlign w:val="center"/>
          </w:tcPr>
          <w:p>
            <w:pPr>
              <w:pStyle w:val="Normal"/>
              <w:jc w:val="center"/>
              <w:rPr/>
            </w:pPr>
            <w:r>
              <w:rPr/>
              <w:t>Incentivi tecnici</w:t>
            </w:r>
          </w:p>
          <w:p>
            <w:pPr>
              <w:pStyle w:val="Normal"/>
              <w:jc w:val="center"/>
              <w:rPr/>
            </w:pPr>
            <w:r>
              <w:rPr/>
              <w:t>ex art. 113 d.lgs. 50/2016</w:t>
            </w:r>
          </w:p>
        </w:tc>
        <w:tc>
          <w:tcPr>
            <w:tcW w:w="5670" w:type="dxa"/>
            <w:tcBorders/>
            <w:vAlign w:val="center"/>
          </w:tcPr>
          <w:p>
            <w:pPr>
              <w:pStyle w:val="Normal"/>
              <w:rPr/>
            </w:pPr>
            <w:r>
              <w:rPr/>
              <w:t>Elenco degli incarichi conferiti o autorizzati a ciascun dipendente (dirigente e non dirigente), con l'indicazione dell'oggetto, della durata e del compenso spettante per ogni incarico</w:t>
            </w:r>
          </w:p>
        </w:tc>
        <w:tc>
          <w:tcPr>
            <w:tcW w:w="1134" w:type="dxa"/>
            <w:tcBorders/>
            <w:vAlign w:val="center"/>
          </w:tcPr>
          <w:p>
            <w:pPr>
              <w:pStyle w:val="Normal"/>
              <w:jc w:val="center"/>
              <w:rPr/>
            </w:pPr>
            <w:r>
              <w:rPr/>
              <w:t>Tempestivo</w:t>
            </w:r>
          </w:p>
          <w:p>
            <w:pPr>
              <w:pStyle w:val="Normal"/>
              <w:jc w:val="center"/>
              <w:rPr/>
            </w:pPr>
            <w:r>
              <w:rPr/>
              <w:t>art. 8 d.lgs. 33/2013</w:t>
            </w:r>
          </w:p>
        </w:tc>
        <w:tc>
          <w:tcPr>
            <w:tcW w:w="1305" w:type="dxa"/>
            <w:gridSpan w:val="2"/>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Personale</w:t>
            </w:r>
          </w:p>
        </w:tc>
        <w:tc>
          <w:tcPr>
            <w:tcW w:w="1701" w:type="dxa"/>
            <w:tcBorders/>
            <w:vAlign w:val="center"/>
          </w:tcPr>
          <w:p>
            <w:pPr>
              <w:pStyle w:val="Normal"/>
              <w:jc w:val="center"/>
              <w:rPr>
                <w:b/>
                <w:b/>
              </w:rPr>
            </w:pPr>
            <w:r>
              <w:rPr>
                <w:b/>
              </w:rPr>
              <w:t>Contrattazione collettiva</w:t>
            </w:r>
          </w:p>
        </w:tc>
        <w:tc>
          <w:tcPr>
            <w:tcW w:w="1134" w:type="dxa"/>
            <w:tcBorders/>
            <w:vAlign w:val="center"/>
          </w:tcPr>
          <w:p>
            <w:pPr>
              <w:pStyle w:val="Normal"/>
              <w:jc w:val="center"/>
              <w:rPr>
                <w:lang w:val="en-GB"/>
              </w:rPr>
            </w:pPr>
            <w:r>
              <w:rPr>
                <w:lang w:val="en-GB"/>
              </w:rPr>
              <w:t>art. 21, c. 1 ;</w:t>
            </w:r>
          </w:p>
          <w:p>
            <w:pPr>
              <w:pStyle w:val="Normal"/>
              <w:jc w:val="center"/>
              <w:rPr>
                <w:lang w:val="en-GB"/>
              </w:rPr>
            </w:pPr>
            <w:r>
              <w:rPr>
                <w:lang w:val="en-GB"/>
              </w:rPr>
              <w:t>art. 47, c. 8,</w:t>
            </w:r>
          </w:p>
          <w:p>
            <w:pPr>
              <w:pStyle w:val="Normal"/>
              <w:jc w:val="center"/>
              <w:rPr/>
            </w:pPr>
            <w:r>
              <w:rPr>
                <w:lang w:val="en-GB"/>
              </w:rPr>
              <w:t>d.lgs. 165/2001</w:t>
            </w:r>
          </w:p>
        </w:tc>
        <w:tc>
          <w:tcPr>
            <w:tcW w:w="2268" w:type="dxa"/>
            <w:tcBorders/>
            <w:vAlign w:val="center"/>
          </w:tcPr>
          <w:p>
            <w:pPr>
              <w:pStyle w:val="Normal"/>
              <w:jc w:val="center"/>
              <w:rPr>
                <w:lang w:val="en-GB"/>
              </w:rPr>
            </w:pPr>
            <w:r>
              <w:rPr/>
              <w:t>Contrattazione</w:t>
            </w:r>
            <w:r>
              <w:rPr>
                <w:lang w:val="en-GB"/>
              </w:rPr>
              <w:t xml:space="preserve">  </w:t>
            </w:r>
            <w:r>
              <w:rPr/>
              <w:t>collettiva</w:t>
            </w:r>
          </w:p>
        </w:tc>
        <w:tc>
          <w:tcPr>
            <w:tcW w:w="5670" w:type="dxa"/>
            <w:tcBorders/>
            <w:vAlign w:val="center"/>
          </w:tcPr>
          <w:p>
            <w:pPr>
              <w:pStyle w:val="Normal"/>
              <w:rPr/>
            </w:pPr>
            <w:r>
              <w:rPr/>
              <w:t>Riferimenti necessari per la consultazione dei contratti e accordi collettivi nazionali ed eventuali interpretazioni autentiche</w:t>
            </w:r>
          </w:p>
        </w:tc>
        <w:tc>
          <w:tcPr>
            <w:tcW w:w="1134" w:type="dxa"/>
            <w:vMerge w:val="restart"/>
            <w:tcBorders/>
            <w:vAlign w:val="center"/>
          </w:tcPr>
          <w:p>
            <w:pPr>
              <w:pStyle w:val="Normal"/>
              <w:jc w:val="center"/>
              <w:rPr/>
            </w:pPr>
            <w:r>
              <w:rPr/>
              <w:t>Tempestivo</w:t>
            </w:r>
          </w:p>
          <w:p>
            <w:pPr>
              <w:pStyle w:val="Intestazione"/>
              <w:jc w:val="center"/>
              <w:rPr/>
            </w:pPr>
            <w:r>
              <w:rPr/>
              <w:t>art. 8 d.lgs. 33/2013</w:t>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Contrattazione integrativa</w:t>
            </w:r>
          </w:p>
        </w:tc>
        <w:tc>
          <w:tcPr>
            <w:tcW w:w="1134" w:type="dxa"/>
            <w:tcBorders/>
            <w:vAlign w:val="center"/>
          </w:tcPr>
          <w:p>
            <w:pPr>
              <w:pStyle w:val="Intestazione"/>
              <w:jc w:val="center"/>
              <w:rPr/>
            </w:pPr>
            <w:r>
              <w:rPr/>
              <w:t>art. 21, c. 2</w:t>
            </w:r>
          </w:p>
        </w:tc>
        <w:tc>
          <w:tcPr>
            <w:tcW w:w="2268" w:type="dxa"/>
            <w:tcBorders/>
            <w:vAlign w:val="center"/>
          </w:tcPr>
          <w:p>
            <w:pPr>
              <w:pStyle w:val="Intestazione"/>
              <w:jc w:val="center"/>
              <w:rPr/>
            </w:pPr>
            <w:r>
              <w:rPr/>
              <w:t>Contratti integrativi</w:t>
            </w:r>
          </w:p>
        </w:tc>
        <w:tc>
          <w:tcPr>
            <w:tcW w:w="5670" w:type="dxa"/>
            <w:tcBorders/>
            <w:vAlign w:val="center"/>
          </w:tcPr>
          <w:p>
            <w:pPr>
              <w:pStyle w:val="Intestazione"/>
              <w:rPr/>
            </w:pPr>
            <w:r>
              <w:rPr/>
              <w:t>Contratti integrativi stipulati, con la relazione tecnico-finanziaria e quella illustrativa, certificate dagli organi di controllo (collegio dei revisori dei conti, collegio sindacale, uffici centrali di bilancio o analoghi organi previsti dai rispettivi ordinamenti)</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21, c. 2 ;</w:t>
            </w:r>
          </w:p>
          <w:p>
            <w:pPr>
              <w:pStyle w:val="Intestazione"/>
              <w:jc w:val="center"/>
              <w:rPr>
                <w:lang w:val="en-US"/>
              </w:rPr>
            </w:pPr>
            <w:r>
              <w:rPr>
                <w:lang w:val="en-US"/>
              </w:rPr>
              <w:t>art. 55, c. 4,</w:t>
            </w:r>
          </w:p>
          <w:p>
            <w:pPr>
              <w:pStyle w:val="Intestazione"/>
              <w:jc w:val="center"/>
              <w:rPr>
                <w:lang w:val="en-US"/>
              </w:rPr>
            </w:pPr>
            <w:r>
              <w:rPr>
                <w:lang w:val="en-US"/>
              </w:rPr>
              <w:t>d.lgs. 150/2009</w:t>
            </w:r>
          </w:p>
        </w:tc>
        <w:tc>
          <w:tcPr>
            <w:tcW w:w="2268" w:type="dxa"/>
            <w:tcBorders/>
            <w:vAlign w:val="center"/>
          </w:tcPr>
          <w:p>
            <w:pPr>
              <w:pStyle w:val="Intestazione"/>
              <w:jc w:val="center"/>
              <w:rPr/>
            </w:pPr>
            <w:r>
              <w:rPr/>
              <w:t>Costi contratti integrativi</w:t>
            </w:r>
          </w:p>
        </w:tc>
        <w:tc>
          <w:tcPr>
            <w:tcW w:w="5670" w:type="dxa"/>
            <w:tcBorders/>
            <w:vAlign w:val="center"/>
          </w:tcPr>
          <w:p>
            <w:pPr>
              <w:pStyle w:val="Intestazione"/>
              <w:rPr/>
            </w:pPr>
            <w:r>
              <w:rPr/>
              <w:t>Specifiche informazioni sui costi  della contrattazione integrativa, certificate dagli organi di controllo  interno, trasmesse al  Ministero dell'Economia e delle finanze, che predispone, allo scopo, uno specifico modello di rilevazione, d'intesa con la Corte dei conti e con la Presidenza del Consiglio dei Ministri - Dipartimento della funzione pubblica</w:t>
            </w:r>
          </w:p>
        </w:tc>
        <w:tc>
          <w:tcPr>
            <w:tcW w:w="1134" w:type="dxa"/>
            <w:tcBorders/>
            <w:vAlign w:val="center"/>
          </w:tcPr>
          <w:p>
            <w:pPr>
              <w:pStyle w:val="Intestazione"/>
              <w:jc w:val="center"/>
              <w:rPr>
                <w:lang w:val="en-GB"/>
              </w:rPr>
            </w:pPr>
            <w:r>
              <w:rPr>
                <w:lang w:val="en-GB"/>
              </w:rPr>
              <w:t>Annuale</w:t>
            </w:r>
          </w:p>
          <w:p>
            <w:pPr>
              <w:pStyle w:val="Intestazione"/>
              <w:jc w:val="center"/>
              <w:rPr>
                <w:lang w:val="en-GB"/>
              </w:rPr>
            </w:pPr>
            <w:r>
              <w:rPr>
                <w:lang w:val="en-GB"/>
              </w:rPr>
              <w:t>art. 55, c. 4,</w:t>
            </w:r>
          </w:p>
          <w:p>
            <w:pPr>
              <w:pStyle w:val="Intestazione"/>
              <w:jc w:val="center"/>
              <w:rPr>
                <w:lang w:val="en-GB"/>
              </w:rPr>
            </w:pPr>
            <w:r>
              <w:rPr>
                <w:lang w:val="en-GB"/>
              </w:rPr>
              <w:t>d.lgs. 165/2001</w:t>
            </w:r>
          </w:p>
        </w:tc>
        <w:tc>
          <w:tcPr>
            <w:tcW w:w="1305" w:type="dxa"/>
            <w:gridSpan w:val="2"/>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vMerge w:val="restart"/>
            <w:tcBorders/>
            <w:vAlign w:val="center"/>
          </w:tcPr>
          <w:p>
            <w:pPr>
              <w:pStyle w:val="Intestazione"/>
              <w:jc w:val="center"/>
              <w:rPr>
                <w:b/>
                <w:b/>
              </w:rPr>
            </w:pPr>
            <w:r>
              <w:rPr>
                <w:b/>
              </w:rPr>
              <w:t>OIV</w:t>
            </w:r>
          </w:p>
        </w:tc>
        <w:tc>
          <w:tcPr>
            <w:tcW w:w="1134" w:type="dxa"/>
            <w:tcBorders/>
            <w:vAlign w:val="center"/>
          </w:tcPr>
          <w:p>
            <w:pPr>
              <w:pStyle w:val="Intestazione"/>
              <w:jc w:val="center"/>
              <w:rPr/>
            </w:pPr>
            <w:r>
              <w:rPr/>
              <w:t>art. 10, c. 8, lett. c)</w:t>
            </w:r>
          </w:p>
        </w:tc>
        <w:tc>
          <w:tcPr>
            <w:tcW w:w="2268" w:type="dxa"/>
            <w:vMerge w:val="restart"/>
            <w:tcBorders/>
            <w:vAlign w:val="center"/>
          </w:tcPr>
          <w:p>
            <w:pPr>
              <w:pStyle w:val="Intestazione"/>
              <w:jc w:val="center"/>
              <w:rPr/>
            </w:pPr>
            <w:r>
              <w:rPr/>
              <w:t>OIV</w:t>
            </w:r>
          </w:p>
          <w:p>
            <w:pPr>
              <w:pStyle w:val="Intestazione"/>
              <w:jc w:val="center"/>
              <w:rPr/>
            </w:pPr>
            <w:r>
              <w:rPr/>
            </w:r>
          </w:p>
          <w:p>
            <w:pPr>
              <w:pStyle w:val="Intestazione"/>
              <w:jc w:val="center"/>
              <w:rPr/>
            </w:pPr>
            <w:r>
              <w:rPr/>
              <w:t>(da pubblicare in tabelle)</w:t>
            </w:r>
          </w:p>
        </w:tc>
        <w:tc>
          <w:tcPr>
            <w:tcW w:w="5670" w:type="dxa"/>
            <w:tcBorders/>
            <w:vAlign w:val="center"/>
          </w:tcPr>
          <w:p>
            <w:pPr>
              <w:pStyle w:val="Intestazione"/>
              <w:rPr/>
            </w:pPr>
            <w:r>
              <w:rPr/>
              <w:t>Nominativi</w:t>
            </w:r>
          </w:p>
        </w:tc>
        <w:tc>
          <w:tcPr>
            <w:tcW w:w="1134" w:type="dxa"/>
            <w:vMerge w:val="restart"/>
            <w:tcBorders/>
            <w:vAlign w:val="center"/>
          </w:tcPr>
          <w:p>
            <w:pPr>
              <w:pStyle w:val="Normal"/>
              <w:jc w:val="center"/>
              <w:rPr/>
            </w:pPr>
            <w:r>
              <w:rPr/>
              <w:t>Tempestivo</w:t>
            </w:r>
          </w:p>
          <w:p>
            <w:pPr>
              <w:pStyle w:val="Intestazione"/>
              <w:jc w:val="center"/>
              <w:rPr/>
            </w:pPr>
            <w:r>
              <w:rPr/>
              <w:t>art. 8 d.lgs. 33/2013</w:t>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10, c. 8, lett. c)</w:t>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Curricula</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par. 14.2 delibera</w:t>
            </w:r>
          </w:p>
          <w:p>
            <w:pPr>
              <w:pStyle w:val="Intestazione"/>
              <w:jc w:val="center"/>
              <w:rPr/>
            </w:pPr>
            <w:r>
              <w:rPr/>
              <w:t>CIVIT n. 12/2013</w:t>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Compensi</w:t>
            </w:r>
          </w:p>
        </w:tc>
        <w:tc>
          <w:tcPr>
            <w:tcW w:w="1134" w:type="dxa"/>
            <w:vMerge w:val="continue"/>
            <w:tcBorders/>
            <w:vAlign w:val="center"/>
          </w:tcPr>
          <w:p>
            <w:pPr>
              <w:pStyle w:val="Intestazione"/>
              <w:jc w:val="center"/>
              <w:rPr/>
            </w:pPr>
            <w:r>
              <w:rPr/>
            </w:r>
          </w:p>
        </w:tc>
        <w:tc>
          <w:tcPr>
            <w:tcW w:w="1305" w:type="dxa"/>
            <w:gridSpan w:val="2"/>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tcBorders/>
            <w:vAlign w:val="center"/>
          </w:tcPr>
          <w:p>
            <w:pPr>
              <w:pStyle w:val="Intestazione"/>
              <w:jc w:val="center"/>
              <w:rPr>
                <w:rFonts w:ascii="Berlin Sans FB Demi" w:hAnsi="Berlin Sans FB Demi"/>
                <w:b/>
                <w:b/>
              </w:rPr>
            </w:pPr>
            <w:r>
              <w:rPr>
                <w:rFonts w:ascii="Berlin Sans FB Demi" w:hAnsi="Berlin Sans FB Demi"/>
                <w:b/>
              </w:rPr>
              <w:t>Bandi di concorso</w:t>
            </w:r>
          </w:p>
        </w:tc>
        <w:tc>
          <w:tcPr>
            <w:tcW w:w="1701" w:type="dxa"/>
            <w:tcBorders/>
            <w:vAlign w:val="center"/>
          </w:tcPr>
          <w:p>
            <w:pPr>
              <w:pStyle w:val="Intestazione"/>
              <w:jc w:val="center"/>
              <w:rPr>
                <w:b/>
                <w:b/>
              </w:rPr>
            </w:pPr>
            <w:r>
              <w:rPr>
                <w:b/>
              </w:rPr>
            </w:r>
          </w:p>
        </w:tc>
        <w:tc>
          <w:tcPr>
            <w:tcW w:w="1134" w:type="dxa"/>
            <w:tcBorders/>
            <w:vAlign w:val="center"/>
          </w:tcPr>
          <w:p>
            <w:pPr>
              <w:pStyle w:val="Intestazione"/>
              <w:jc w:val="center"/>
              <w:rPr/>
            </w:pPr>
            <w:r>
              <w:rPr/>
              <w:t>art. 19</w:t>
            </w:r>
          </w:p>
        </w:tc>
        <w:tc>
          <w:tcPr>
            <w:tcW w:w="2268" w:type="dxa"/>
            <w:tcBorders/>
            <w:vAlign w:val="center"/>
          </w:tcPr>
          <w:p>
            <w:pPr>
              <w:pStyle w:val="Intestazione"/>
              <w:jc w:val="center"/>
              <w:rPr/>
            </w:pPr>
            <w:r>
              <w:rPr/>
              <w:t>Bandi di concorso</w:t>
            </w:r>
          </w:p>
          <w:p>
            <w:pPr>
              <w:pStyle w:val="Intestazione"/>
              <w:jc w:val="center"/>
              <w:rPr/>
            </w:pPr>
            <w:r>
              <w:rPr/>
              <w:t>(da pubblicare in tabelle)</w:t>
            </w:r>
          </w:p>
        </w:tc>
        <w:tc>
          <w:tcPr>
            <w:tcW w:w="5670" w:type="dxa"/>
            <w:tcBorders/>
            <w:vAlign w:val="center"/>
          </w:tcPr>
          <w:p>
            <w:pPr>
              <w:pStyle w:val="Intestazione"/>
              <w:rPr/>
            </w:pPr>
            <w:r>
              <w:rPr/>
              <w:t>Bandi di concorso per il reclutamento, a qualsiasi titolo, di personale presso l'amministrazione nonche' i criteri di valutazione della Commissione e le tracce delle prove scritte</w:t>
            </w:r>
          </w:p>
        </w:tc>
        <w:tc>
          <w:tcPr>
            <w:tcW w:w="1134" w:type="dxa"/>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Performance</w:t>
            </w:r>
          </w:p>
        </w:tc>
        <w:tc>
          <w:tcPr>
            <w:tcW w:w="1701" w:type="dxa"/>
            <w:tcBorders/>
            <w:vAlign w:val="center"/>
          </w:tcPr>
          <w:p>
            <w:pPr>
              <w:pStyle w:val="Intestazione"/>
              <w:jc w:val="center"/>
              <w:rPr>
                <w:b/>
                <w:b/>
              </w:rPr>
            </w:pPr>
            <w:r>
              <w:rPr>
                <w:b/>
              </w:rPr>
              <w:t>Sistema di misurazione e valutazione della performance</w:t>
            </w:r>
          </w:p>
        </w:tc>
        <w:tc>
          <w:tcPr>
            <w:tcW w:w="1134" w:type="dxa"/>
            <w:tcBorders/>
            <w:vAlign w:val="center"/>
          </w:tcPr>
          <w:p>
            <w:pPr>
              <w:pStyle w:val="Intestazione"/>
              <w:jc w:val="center"/>
              <w:rPr/>
            </w:pPr>
            <w:r>
              <w:rPr/>
              <w:t>Par. 1, delibera CIVIT n. 104/2010</w:t>
            </w:r>
          </w:p>
        </w:tc>
        <w:tc>
          <w:tcPr>
            <w:tcW w:w="2268" w:type="dxa"/>
            <w:tcBorders/>
            <w:vAlign w:val="center"/>
          </w:tcPr>
          <w:p>
            <w:pPr>
              <w:pStyle w:val="Intestazione"/>
              <w:jc w:val="center"/>
              <w:rPr/>
            </w:pPr>
            <w:r>
              <w:rPr/>
              <w:t>Sistema di misurazione e valutazione della performance</w:t>
            </w:r>
          </w:p>
        </w:tc>
        <w:tc>
          <w:tcPr>
            <w:tcW w:w="5670" w:type="dxa"/>
            <w:tcBorders/>
            <w:vAlign w:val="center"/>
          </w:tcPr>
          <w:p>
            <w:pPr>
              <w:pStyle w:val="Intestazione"/>
              <w:rPr/>
            </w:pPr>
            <w:r>
              <w:rPr/>
              <w:t>Sistema di misurazione e valutazione della Performance (art. 7, d.lgs. n. 150/2009)</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Intestazione"/>
              <w:jc w:val="center"/>
              <w:rPr>
                <w:b/>
                <w:b/>
              </w:rPr>
            </w:pPr>
            <w:r>
              <w:rPr>
                <w:b/>
              </w:rPr>
              <w:t>Piano della Performance</w:t>
            </w:r>
          </w:p>
        </w:tc>
        <w:tc>
          <w:tcPr>
            <w:tcW w:w="1134" w:type="dxa"/>
            <w:vMerge w:val="restart"/>
            <w:tcBorders/>
            <w:vAlign w:val="center"/>
          </w:tcPr>
          <w:p>
            <w:pPr>
              <w:pStyle w:val="Intestazione"/>
              <w:jc w:val="center"/>
              <w:rPr/>
            </w:pPr>
            <w:r>
              <w:rPr/>
              <w:t>art. 10, c. 8, lett. b)</w:t>
            </w:r>
          </w:p>
        </w:tc>
        <w:tc>
          <w:tcPr>
            <w:tcW w:w="2268" w:type="dxa"/>
            <w:tcBorders/>
            <w:vAlign w:val="center"/>
          </w:tcPr>
          <w:p>
            <w:pPr>
              <w:pStyle w:val="Intestazione"/>
              <w:jc w:val="center"/>
              <w:rPr/>
            </w:pPr>
            <w:r>
              <w:rPr/>
              <w:t>Piano della Performance/Piano esecutivo di gestione</w:t>
            </w:r>
          </w:p>
        </w:tc>
        <w:tc>
          <w:tcPr>
            <w:tcW w:w="5670" w:type="dxa"/>
            <w:tcBorders/>
            <w:vAlign w:val="center"/>
          </w:tcPr>
          <w:p>
            <w:pPr>
              <w:pStyle w:val="Intestazione"/>
              <w:rPr/>
            </w:pPr>
            <w:r>
              <w:rPr/>
              <w:t>Piano della Performance (art. 10, d.lgs. 150/2009)</w:t>
            </w:r>
          </w:p>
          <w:p>
            <w:pPr>
              <w:pStyle w:val="Intestazione"/>
              <w:rPr/>
            </w:pPr>
            <w:r>
              <w:rPr/>
              <w:t>Piano esecutivo di gestione (per gli enti locali) (art. 169, c. 3-bis, d.lgs. n. 267/2000)</w:t>
            </w:r>
          </w:p>
        </w:tc>
        <w:tc>
          <w:tcPr>
            <w:tcW w:w="1134" w:type="dxa"/>
            <w:vMerge w:val="restart"/>
            <w:tcBorders/>
            <w:vAlign w:val="center"/>
          </w:tcPr>
          <w:p>
            <w:pPr>
              <w:pStyle w:val="Normal"/>
              <w:jc w:val="center"/>
              <w:rPr/>
            </w:pPr>
            <w:r>
              <w:rPr/>
              <w:t>Tempestivo</w:t>
            </w:r>
          </w:p>
          <w:p>
            <w:pPr>
              <w:pStyle w:val="Intestazione"/>
              <w:jc w:val="center"/>
              <w:rPr/>
            </w:pPr>
            <w:r>
              <w:rPr/>
              <w:t>art. 8 d.lgs.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Intestazione"/>
              <w:jc w:val="center"/>
              <w:rPr>
                <w:b/>
                <w:b/>
              </w:rPr>
            </w:pPr>
            <w:r>
              <w:rPr>
                <w:b/>
              </w:rPr>
              <w:t>Relazione sulla performance</w:t>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Relazione sulla performance</w:t>
            </w:r>
          </w:p>
        </w:tc>
        <w:tc>
          <w:tcPr>
            <w:tcW w:w="5670" w:type="dxa"/>
            <w:tcBorders/>
            <w:vAlign w:val="center"/>
          </w:tcPr>
          <w:p>
            <w:pPr>
              <w:pStyle w:val="Intestazione"/>
              <w:rPr/>
            </w:pPr>
            <w:r>
              <w:rPr/>
              <w:t>Relazione sulla performance (art. 10 d.lgs. 150/2009)</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Ammontare complessivo</w:t>
            </w:r>
          </w:p>
          <w:p>
            <w:pPr>
              <w:pStyle w:val="Intestazione"/>
              <w:jc w:val="center"/>
              <w:rPr>
                <w:b/>
                <w:b/>
              </w:rPr>
            </w:pPr>
            <w:r>
              <w:rPr>
                <w:b/>
              </w:rPr>
              <w:t>dei premi</w:t>
            </w:r>
          </w:p>
        </w:tc>
        <w:tc>
          <w:tcPr>
            <w:tcW w:w="1134" w:type="dxa"/>
            <w:vMerge w:val="restart"/>
            <w:tcBorders/>
            <w:vAlign w:val="center"/>
          </w:tcPr>
          <w:p>
            <w:pPr>
              <w:pStyle w:val="Intestazione"/>
              <w:jc w:val="center"/>
              <w:rPr/>
            </w:pPr>
            <w:r>
              <w:rPr/>
              <w:t>art. 20, c. 1</w:t>
            </w:r>
          </w:p>
        </w:tc>
        <w:tc>
          <w:tcPr>
            <w:tcW w:w="2268" w:type="dxa"/>
            <w:vMerge w:val="restart"/>
            <w:tcBorders/>
            <w:vAlign w:val="center"/>
          </w:tcPr>
          <w:p>
            <w:pPr>
              <w:pStyle w:val="Intestazione"/>
              <w:jc w:val="center"/>
              <w:rPr/>
            </w:pPr>
            <w:r>
              <w:rPr/>
              <w:t>Ammontare complessivo dei premo</w:t>
            </w:r>
          </w:p>
          <w:p>
            <w:pPr>
              <w:pStyle w:val="Intestazione"/>
              <w:jc w:val="center"/>
              <w:rPr/>
            </w:pPr>
            <w:r>
              <w:rPr/>
              <w:t>(da pubblicare in tabelle)</w:t>
            </w:r>
          </w:p>
        </w:tc>
        <w:tc>
          <w:tcPr>
            <w:tcW w:w="5670" w:type="dxa"/>
            <w:tcBorders/>
            <w:vAlign w:val="center"/>
          </w:tcPr>
          <w:p>
            <w:pPr>
              <w:pStyle w:val="Intestazione"/>
              <w:rPr/>
            </w:pPr>
            <w:r>
              <w:rPr/>
              <w:t>Ammontare complessivo dei premi collegati alle performance stanziali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Ammontare dei premi effettivamente distribuiti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Dati relativi ai premi</w:t>
            </w:r>
          </w:p>
        </w:tc>
        <w:tc>
          <w:tcPr>
            <w:tcW w:w="1134" w:type="dxa"/>
            <w:vMerge w:val="restart"/>
            <w:tcBorders/>
            <w:vAlign w:val="center"/>
          </w:tcPr>
          <w:p>
            <w:pPr>
              <w:pStyle w:val="Intestazione"/>
              <w:jc w:val="center"/>
              <w:rPr/>
            </w:pPr>
            <w:r>
              <w:rPr/>
              <w:t>art. 20, c. 2</w:t>
            </w:r>
          </w:p>
        </w:tc>
        <w:tc>
          <w:tcPr>
            <w:tcW w:w="2268" w:type="dxa"/>
            <w:vMerge w:val="restart"/>
            <w:tcBorders/>
            <w:vAlign w:val="center"/>
          </w:tcPr>
          <w:p>
            <w:pPr>
              <w:pStyle w:val="Intestazione"/>
              <w:jc w:val="center"/>
              <w:rPr/>
            </w:pPr>
            <w:r>
              <w:rPr/>
              <w:t>Dati relativi ai premi</w:t>
            </w:r>
          </w:p>
          <w:p>
            <w:pPr>
              <w:pStyle w:val="Intestazione"/>
              <w:jc w:val="center"/>
              <w:rPr/>
            </w:pPr>
            <w:r>
              <w:rPr/>
              <w:t>(da pubblicare in tabelle)</w:t>
            </w:r>
          </w:p>
        </w:tc>
        <w:tc>
          <w:tcPr>
            <w:tcW w:w="5670" w:type="dxa"/>
            <w:tcBorders/>
            <w:vAlign w:val="center"/>
          </w:tcPr>
          <w:p>
            <w:pPr>
              <w:pStyle w:val="Intestazione"/>
              <w:rPr/>
            </w:pPr>
            <w:r>
              <w:rPr/>
              <w:t>Criteri definiti nei sistemi di misurazione e valutazione della performance  per l’assegnazione del trattamento accessorio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Distribuzione del trattamento accessorio, in forma aggregata, al fine di dare conto del livello di selettività utilizzato nella distribuzione dei premi e degli incentivi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rPr/>
            </w:pPr>
            <w:r>
              <w:rPr/>
              <w:t>Grado di differenziazione dell'utilizzo della premialità sia per i dirigenti sia per i dipendenti</w:t>
            </w:r>
          </w:p>
          <w:p>
            <w:pPr>
              <w:pStyle w:val="Intestazione"/>
              <w:rPr/>
            </w:pPr>
            <w:r>
              <w:rPr/>
              <w:t>Tempestivo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shd w:color="auto" w:fill="D9D9D9" w:themeFill="background1" w:themeFillShade="d9" w:val="clear"/>
            <w:vAlign w:val="center"/>
          </w:tcPr>
          <w:p>
            <w:pPr>
              <w:pStyle w:val="Intestazione"/>
              <w:jc w:val="center"/>
              <w:rPr>
                <w:b/>
                <w:b/>
              </w:rPr>
            </w:pPr>
            <w:r>
              <w:rPr>
                <w:b/>
              </w:rPr>
              <w:t>Benessere organizzativo</w:t>
            </w:r>
          </w:p>
        </w:tc>
        <w:tc>
          <w:tcPr>
            <w:tcW w:w="1134" w:type="dxa"/>
            <w:tcBorders/>
            <w:shd w:color="auto" w:fill="D9D9D9" w:themeFill="background1" w:themeFillShade="d9" w:val="clear"/>
            <w:vAlign w:val="center"/>
          </w:tcPr>
          <w:p>
            <w:pPr>
              <w:pStyle w:val="Intestazione"/>
              <w:jc w:val="center"/>
              <w:rPr/>
            </w:pPr>
            <w:r>
              <w:rPr/>
              <w:t>art. 20, c. 3</w:t>
            </w:r>
          </w:p>
        </w:tc>
        <w:tc>
          <w:tcPr>
            <w:tcW w:w="2268" w:type="dxa"/>
            <w:tcBorders/>
            <w:shd w:color="auto" w:fill="D9D9D9" w:themeFill="background1" w:themeFillShade="d9" w:val="clear"/>
            <w:vAlign w:val="center"/>
          </w:tcPr>
          <w:p>
            <w:pPr>
              <w:pStyle w:val="Intestazione"/>
              <w:jc w:val="center"/>
              <w:rPr/>
            </w:pPr>
            <w:r>
              <w:rPr/>
              <w:t>Benessere organizzativo</w:t>
            </w:r>
          </w:p>
        </w:tc>
        <w:tc>
          <w:tcPr>
            <w:tcW w:w="5670" w:type="dxa"/>
            <w:tcBorders/>
            <w:shd w:color="auto" w:fill="D9D9D9" w:themeFill="background1" w:themeFillShade="d9" w:val="clear"/>
            <w:vAlign w:val="center"/>
          </w:tcPr>
          <w:p>
            <w:pPr>
              <w:pStyle w:val="Intestazione"/>
              <w:rPr/>
            </w:pPr>
            <w:r>
              <w:rPr/>
              <w:t>Livelli di benessere organizzativo</w:t>
            </w:r>
          </w:p>
        </w:tc>
        <w:tc>
          <w:tcPr>
            <w:tcW w:w="1134" w:type="dxa"/>
            <w:tcBorders/>
            <w:shd w:color="auto" w:fill="D9D9D9" w:themeFill="background1" w:themeFillShade="d9" w:val="clear"/>
            <w:vAlign w:val="center"/>
          </w:tcPr>
          <w:p>
            <w:pPr>
              <w:pStyle w:val="Intestazione"/>
              <w:jc w:val="center"/>
              <w:rPr/>
            </w:pPr>
            <w:r>
              <w:rPr/>
              <w:t>Dati non più soggetti a pubblicazione obbligatoria ai sensi del d.lg.s 97/2016</w:t>
            </w:r>
          </w:p>
        </w:tc>
        <w:tc>
          <w:tcPr>
            <w:tcW w:w="1305"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bottom w:val="nil"/>
            </w:tcBorders>
            <w:vAlign w:val="center"/>
          </w:tcPr>
          <w:p>
            <w:pPr>
              <w:pStyle w:val="Intestazione"/>
              <w:jc w:val="center"/>
              <w:rPr>
                <w:rFonts w:ascii="Berlin Sans FB Demi" w:hAnsi="Berlin Sans FB Demi"/>
                <w:b/>
                <w:b/>
              </w:rPr>
            </w:pPr>
            <w:r>
              <w:rPr>
                <w:rFonts w:ascii="Berlin Sans FB Demi" w:hAnsi="Berlin Sans FB Demi"/>
                <w:b/>
              </w:rPr>
              <w:t>Enti controllati</w:t>
            </w:r>
          </w:p>
        </w:tc>
        <w:tc>
          <w:tcPr>
            <w:tcW w:w="1701" w:type="dxa"/>
            <w:vMerge w:val="restart"/>
            <w:tcBorders/>
            <w:vAlign w:val="center"/>
          </w:tcPr>
          <w:p>
            <w:pPr>
              <w:pStyle w:val="Intestazione"/>
              <w:jc w:val="center"/>
              <w:rPr>
                <w:b/>
                <w:b/>
              </w:rPr>
            </w:pPr>
            <w:r>
              <w:rPr>
                <w:b/>
              </w:rPr>
              <w:t>Enti pubblici vigilati</w:t>
            </w:r>
          </w:p>
        </w:tc>
        <w:tc>
          <w:tcPr>
            <w:tcW w:w="1134" w:type="dxa"/>
            <w:tcBorders/>
            <w:vAlign w:val="center"/>
          </w:tcPr>
          <w:p>
            <w:pPr>
              <w:pStyle w:val="Intestazione"/>
              <w:jc w:val="center"/>
              <w:rPr/>
            </w:pPr>
            <w:r>
              <w:rPr/>
              <w:t>art. 22, c. 1, lett. a)</w:t>
            </w:r>
          </w:p>
        </w:tc>
        <w:tc>
          <w:tcPr>
            <w:tcW w:w="2268" w:type="dxa"/>
            <w:vMerge w:val="restart"/>
            <w:tcBorders/>
            <w:vAlign w:val="center"/>
          </w:tcPr>
          <w:p>
            <w:pPr>
              <w:pStyle w:val="Intestazione"/>
              <w:jc w:val="center"/>
              <w:rPr/>
            </w:pPr>
            <w:r>
              <w:rPr/>
              <w:t>Enti pubblici vigilati</w:t>
            </w:r>
          </w:p>
          <w:p>
            <w:pPr>
              <w:pStyle w:val="Intestazione"/>
              <w:jc w:val="center"/>
              <w:rPr/>
            </w:pPr>
            <w:r>
              <w:rPr/>
            </w:r>
          </w:p>
          <w:p>
            <w:pPr>
              <w:pStyle w:val="Intestazione"/>
              <w:jc w:val="center"/>
              <w:rPr/>
            </w:pPr>
            <w:r>
              <w:rPr/>
              <w:t>(da pubblicare in tabelle</w:t>
            </w:r>
          </w:p>
        </w:tc>
        <w:tc>
          <w:tcPr>
            <w:tcW w:w="5670" w:type="dxa"/>
            <w:tcBorders/>
            <w:vAlign w:val="center"/>
          </w:tcPr>
          <w:p>
            <w:pPr>
              <w:pStyle w:val="Default"/>
              <w:rPr>
                <w:rFonts w:ascii="Calibri" w:hAnsi="Calibri"/>
                <w:sz w:val="13"/>
                <w:szCs w:val="13"/>
              </w:rPr>
            </w:pPr>
            <w:r>
              <w:rPr>
                <w:rFonts w:ascii="Calibri" w:hAnsi="Calibri"/>
                <w:sz w:val="13"/>
                <w:szCs w:val="13"/>
              </w:rPr>
              <w:t>Elenco degli enti pubblici, comunque denominati, istituiti, vigilati e finanziati dall'amministrazione ovvero per i quali l'amministrazione abbia il potere di nomina degli amministratori dell'ente, con l'indicazione delle funzioni attribuite e delle attività svolte in favore dell'amministrazione o delle attività di servizio pubblico affidate</w:t>
            </w:r>
          </w:p>
        </w:tc>
        <w:tc>
          <w:tcPr>
            <w:tcW w:w="1134" w:type="dxa"/>
            <w:vMerge w:val="restart"/>
            <w:tcBorders/>
            <w:vAlign w:val="center"/>
          </w:tcPr>
          <w:p>
            <w:pPr>
              <w:pStyle w:val="Default"/>
              <w:jc w:val="center"/>
              <w:rPr>
                <w:rFonts w:ascii="Calibri" w:hAnsi="Calibri"/>
                <w:sz w:val="13"/>
                <w:szCs w:val="13"/>
                <w:lang w:val="en-US"/>
              </w:rPr>
            </w:pPr>
            <w:r>
              <w:rPr>
                <w:rFonts w:ascii="Calibri" w:hAnsi="Calibri"/>
                <w:sz w:val="13"/>
                <w:szCs w:val="13"/>
                <w:lang w:val="en-US"/>
              </w:rPr>
              <w:t>Annuale</w:t>
            </w:r>
          </w:p>
          <w:p>
            <w:pPr>
              <w:pStyle w:val="Default"/>
              <w:jc w:val="center"/>
              <w:rPr>
                <w:sz w:val="16"/>
                <w:szCs w:val="16"/>
                <w:lang w:val="en-US"/>
              </w:rPr>
            </w:pPr>
            <w:r>
              <w:rPr>
                <w:rFonts w:ascii="Calibri" w:hAnsi="Calibri"/>
                <w:sz w:val="13"/>
                <w:szCs w:val="13"/>
                <w:lang w:val="en-US"/>
              </w:rPr>
              <w:t>art. 22, c. 1, d.lgs. n. 33/2013</w:t>
            </w:r>
          </w:p>
        </w:tc>
        <w:tc>
          <w:tcPr>
            <w:tcW w:w="1305" w:type="dxa"/>
            <w:tcBorders/>
            <w:vAlign w:val="center"/>
          </w:tcPr>
          <w:p>
            <w:pPr>
              <w:pStyle w:val="Intestazione"/>
              <w:jc w:val="center"/>
              <w:rPr>
                <w:lang w:val="en-US"/>
              </w:rPr>
            </w:pPr>
            <w:r>
              <w:rPr>
                <w:lang w:val="en-US"/>
              </w:rPr>
            </w:r>
          </w:p>
        </w:tc>
        <w:tc>
          <w:tcPr>
            <w:tcW w:w="1273" w:type="dxa"/>
            <w:tcBorders/>
            <w:vAlign w:val="center"/>
          </w:tcPr>
          <w:p>
            <w:pPr>
              <w:pStyle w:val="Intestazione"/>
              <w:jc w:val="center"/>
              <w:rPr>
                <w:lang w:val="en-US"/>
              </w:rPr>
            </w:pPr>
            <w:r>
              <w:rPr>
                <w:lang w:val="en-US"/>
              </w:rPr>
            </w:r>
          </w:p>
        </w:tc>
      </w:tr>
      <w:tr>
        <w:trPr/>
        <w:tc>
          <w:tcPr>
            <w:tcW w:w="1134" w:type="dxa"/>
            <w:vMerge w:val="continue"/>
            <w:tcBorders>
              <w:bottom w:val="nil"/>
            </w:tcBorders>
            <w:vAlign w:val="center"/>
          </w:tcPr>
          <w:p>
            <w:pPr>
              <w:pStyle w:val="Intestazione"/>
              <w:jc w:val="center"/>
              <w:rPr>
                <w:lang w:val="en-US"/>
              </w:rPr>
            </w:pPr>
            <w:r>
              <w:rPr>
                <w:lang w:val="en-US"/>
              </w:rPr>
            </w:r>
          </w:p>
        </w:tc>
        <w:tc>
          <w:tcPr>
            <w:tcW w:w="1701" w:type="dxa"/>
            <w:vMerge w:val="continue"/>
            <w:tcBorders/>
            <w:vAlign w:val="center"/>
          </w:tcPr>
          <w:p>
            <w:pPr>
              <w:pStyle w:val="Intestazione"/>
              <w:jc w:val="center"/>
              <w:rPr>
                <w:b/>
                <w:b/>
                <w:lang w:val="en-US"/>
              </w:rPr>
            </w:pPr>
            <w:r>
              <w:rPr>
                <w:b/>
                <w:lang w:val="en-US"/>
              </w:rPr>
            </w:r>
          </w:p>
        </w:tc>
        <w:tc>
          <w:tcPr>
            <w:tcW w:w="1134" w:type="dxa"/>
            <w:tcBorders/>
            <w:vAlign w:val="center"/>
          </w:tcPr>
          <w:p>
            <w:pPr>
              <w:pStyle w:val="Intestazione"/>
              <w:jc w:val="center"/>
              <w:rPr>
                <w:lang w:val="en-US"/>
              </w:rPr>
            </w:pPr>
            <w:r>
              <w:rPr>
                <w:lang w:val="en-US"/>
              </w:rPr>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Intestazione"/>
              <w:rPr>
                <w:lang w:val="en-US"/>
              </w:rPr>
            </w:pPr>
            <w:r>
              <w:rPr>
                <w:lang w:val="en-US"/>
              </w:rPr>
              <w:t>Per ciascuno degli enti :</w:t>
            </w:r>
          </w:p>
        </w:tc>
        <w:tc>
          <w:tcPr>
            <w:tcW w:w="1134" w:type="dxa"/>
            <w:vMerge w:val="continue"/>
            <w:tcBorders/>
            <w:vAlign w:val="center"/>
          </w:tcPr>
          <w:p>
            <w:pPr>
              <w:pStyle w:val="Intestazione"/>
              <w:jc w:val="center"/>
              <w:rPr>
                <w:lang w:val="en-US"/>
              </w:rPr>
            </w:pPr>
            <w:r>
              <w:rPr>
                <w:lang w:val="en-US"/>
              </w:rPr>
            </w:r>
          </w:p>
        </w:tc>
        <w:tc>
          <w:tcPr>
            <w:tcW w:w="1305" w:type="dxa"/>
            <w:tcBorders/>
            <w:vAlign w:val="center"/>
          </w:tcPr>
          <w:p>
            <w:pPr>
              <w:pStyle w:val="Intestazione"/>
              <w:jc w:val="center"/>
              <w:rPr>
                <w:lang w:val="en-US"/>
              </w:rPr>
            </w:pPr>
            <w:r>
              <w:rPr>
                <w:lang w:val="en-US"/>
              </w:rPr>
            </w:r>
          </w:p>
        </w:tc>
        <w:tc>
          <w:tcPr>
            <w:tcW w:w="1273" w:type="dxa"/>
            <w:tcBorders/>
            <w:vAlign w:val="center"/>
          </w:tcPr>
          <w:p>
            <w:pPr>
              <w:pStyle w:val="Intestazione"/>
              <w:jc w:val="center"/>
              <w:rPr>
                <w:lang w:val="en-US"/>
              </w:rPr>
            </w:pPr>
            <w:r>
              <w:rPr>
                <w:lang w:val="en-US"/>
              </w:rPr>
            </w:r>
          </w:p>
        </w:tc>
      </w:tr>
      <w:tr>
        <w:trPr/>
        <w:tc>
          <w:tcPr>
            <w:tcW w:w="1134" w:type="dxa"/>
            <w:vMerge w:val="continue"/>
            <w:tcBorders>
              <w:bottom w:val="nil"/>
            </w:tcBorders>
            <w:vAlign w:val="center"/>
          </w:tcPr>
          <w:p>
            <w:pPr>
              <w:pStyle w:val="Intestazione"/>
              <w:jc w:val="center"/>
              <w:rPr>
                <w:lang w:val="en-US"/>
              </w:rPr>
            </w:pPr>
            <w:r>
              <w:rPr>
                <w:lang w:val="en-US"/>
              </w:rPr>
            </w:r>
          </w:p>
        </w:tc>
        <w:tc>
          <w:tcPr>
            <w:tcW w:w="1701" w:type="dxa"/>
            <w:vMerge w:val="continue"/>
            <w:tcBorders/>
            <w:vAlign w:val="center"/>
          </w:tcPr>
          <w:p>
            <w:pPr>
              <w:pStyle w:val="Intestazione"/>
              <w:jc w:val="center"/>
              <w:rPr>
                <w:b/>
                <w:b/>
                <w:lang w:val="en-US"/>
              </w:rPr>
            </w:pPr>
            <w:r>
              <w:rPr>
                <w:b/>
                <w:lang w:val="en-US"/>
              </w:rPr>
            </w:r>
          </w:p>
        </w:tc>
        <w:tc>
          <w:tcPr>
            <w:tcW w:w="1134" w:type="dxa"/>
            <w:vMerge w:val="restart"/>
            <w:tcBorders/>
            <w:vAlign w:val="center"/>
          </w:tcPr>
          <w:p>
            <w:pPr>
              <w:pStyle w:val="Intestazione"/>
              <w:jc w:val="center"/>
              <w:rPr/>
            </w:pPr>
            <w:r>
              <w:rPr/>
              <w:t>art. 22, c. 2</w:t>
            </w:r>
          </w:p>
        </w:tc>
        <w:tc>
          <w:tcPr>
            <w:tcW w:w="2268" w:type="dxa"/>
            <w:vMerge w:val="continue"/>
            <w:tcBorders/>
            <w:vAlign w:val="center"/>
          </w:tcPr>
          <w:p>
            <w:pPr>
              <w:pStyle w:val="Intestazione"/>
              <w:jc w:val="center"/>
              <w:rPr/>
            </w:pPr>
            <w:r>
              <w:rPr/>
            </w:r>
          </w:p>
        </w:tc>
        <w:tc>
          <w:tcPr>
            <w:tcW w:w="5670" w:type="dxa"/>
            <w:tcBorders/>
            <w:vAlign w:val="center"/>
          </w:tcPr>
          <w:p>
            <w:pPr>
              <w:pStyle w:val="Intestazione"/>
              <w:numPr>
                <w:ilvl w:val="0"/>
                <w:numId w:val="1"/>
              </w:numPr>
              <w:ind w:left="113" w:hanging="113"/>
              <w:rPr/>
            </w:pPr>
            <w:r>
              <w:rPr/>
              <w:t>ragione sociale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2) misura dell'eventuale partecipazione dell'amministrazione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3) durata dell'impegno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4) onere complessivo a qualsiasi titolo gravante per l'anno sul bilancio dell'amministrazione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 xml:space="preserve">5) numero dei rappresentanti dell'amministrazione negli organi di governo e trattamento economico complessivo a ciascuno di essi spettante (con l'esclusione dei rimborsi per vitto e alloggio) </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6) risultati di bilancio degli ultimi tre esercizi finanziari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 xml:space="preserve">7) incarichi di amministratore dell'ente e relativo trattamento economico complessivo (con l'esclusione dei rimborsi per vitto e alloggio) </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restart"/>
            <w:tcBorders/>
            <w:vAlign w:val="center"/>
          </w:tcPr>
          <w:p>
            <w:pPr>
              <w:pStyle w:val="Intestazione"/>
              <w:jc w:val="center"/>
              <w:rPr/>
            </w:pPr>
            <w:r>
              <w:rPr/>
              <w:t>art. 20, c. 3</w:t>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Dichiarazione sulla insussistenza di una delle cause di inconferibilità dell'incarico (</w:t>
            </w:r>
            <w:r>
              <w:rPr>
                <w:rFonts w:ascii="Calibri" w:hAnsi="Calibri"/>
                <w:i/>
                <w:iCs/>
                <w:sz w:val="13"/>
                <w:szCs w:val="13"/>
              </w:rPr>
              <w:t xml:space="preserve">link </w:t>
            </w:r>
            <w:r>
              <w:rPr>
                <w:rFonts w:ascii="Calibri" w:hAnsi="Calibri"/>
                <w:sz w:val="13"/>
                <w:szCs w:val="13"/>
              </w:rPr>
              <w:t>al sito dell'ente)</w:t>
            </w:r>
          </w:p>
        </w:tc>
        <w:tc>
          <w:tcPr>
            <w:tcW w:w="1134" w:type="dxa"/>
            <w:vMerge w:val="restart"/>
            <w:tcBorders/>
            <w:vAlign w:val="center"/>
          </w:tcPr>
          <w:p>
            <w:pPr>
              <w:pStyle w:val="Default"/>
              <w:jc w:val="center"/>
              <w:rPr>
                <w:rFonts w:ascii="Calibri" w:hAnsi="Calibri"/>
                <w:sz w:val="13"/>
                <w:szCs w:val="13"/>
                <w:lang w:val="en-US"/>
              </w:rPr>
            </w:pPr>
            <w:r>
              <w:rPr>
                <w:rFonts w:ascii="Calibri" w:hAnsi="Calibri"/>
                <w:sz w:val="13"/>
                <w:szCs w:val="13"/>
                <w:lang w:val="en-GB"/>
              </w:rPr>
              <w:t>Annu</w:t>
            </w:r>
            <w:r>
              <w:rPr>
                <w:rFonts w:ascii="Calibri" w:hAnsi="Calibri"/>
                <w:sz w:val="13"/>
                <w:szCs w:val="13"/>
                <w:lang w:val="en-US"/>
              </w:rPr>
              <w:t>ale</w:t>
            </w:r>
          </w:p>
          <w:p>
            <w:pPr>
              <w:pStyle w:val="Intestazione"/>
              <w:jc w:val="center"/>
              <w:rPr>
                <w:lang w:val="en-GB"/>
              </w:rPr>
            </w:pPr>
            <w:r>
              <w:rPr>
                <w:lang w:val="en-US"/>
              </w:rPr>
              <w:t>art. 22, c. 1, d.lgs. n. 33/2013</w:t>
            </w:r>
          </w:p>
        </w:tc>
        <w:tc>
          <w:tcPr>
            <w:tcW w:w="1305" w:type="dxa"/>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bottom w:val="nil"/>
            </w:tcBorders>
            <w:vAlign w:val="center"/>
          </w:tcPr>
          <w:p>
            <w:pPr>
              <w:pStyle w:val="Intestazione"/>
              <w:jc w:val="center"/>
              <w:rPr>
                <w:lang w:val="en-GB"/>
              </w:rPr>
            </w:pPr>
            <w:r>
              <w:rPr>
                <w:lang w:val="en-GB"/>
              </w:rPr>
            </w:r>
          </w:p>
        </w:tc>
        <w:tc>
          <w:tcPr>
            <w:tcW w:w="1701" w:type="dxa"/>
            <w:vMerge w:val="continue"/>
            <w:tcBorders/>
            <w:vAlign w:val="center"/>
          </w:tcPr>
          <w:p>
            <w:pPr>
              <w:pStyle w:val="Intestazione"/>
              <w:jc w:val="center"/>
              <w:rPr>
                <w:b/>
                <w:b/>
                <w:lang w:val="en-GB"/>
              </w:rPr>
            </w:pPr>
            <w:r>
              <w:rPr>
                <w:b/>
                <w:lang w:val="en-GB"/>
              </w:rPr>
            </w:r>
          </w:p>
        </w:tc>
        <w:tc>
          <w:tcPr>
            <w:tcW w:w="1134" w:type="dxa"/>
            <w:vMerge w:val="continue"/>
            <w:tcBorders/>
            <w:vAlign w:val="center"/>
          </w:tcPr>
          <w:p>
            <w:pPr>
              <w:pStyle w:val="Intestazione"/>
              <w:jc w:val="center"/>
              <w:rPr>
                <w:lang w:val="en-GB"/>
              </w:rPr>
            </w:pPr>
            <w:r>
              <w:rPr>
                <w:lang w:val="en-GB"/>
              </w:rPr>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Default"/>
              <w:rPr>
                <w:rFonts w:ascii="Calibri" w:hAnsi="Calibri"/>
                <w:sz w:val="13"/>
                <w:szCs w:val="13"/>
              </w:rPr>
            </w:pPr>
            <w:r>
              <w:rPr>
                <w:rFonts w:ascii="Calibri" w:hAnsi="Calibri"/>
                <w:sz w:val="13"/>
                <w:szCs w:val="13"/>
              </w:rPr>
              <w:t>Dichiarazione sulla insussistenza di una delle cause di incompatibilità al conferimento dell'incarico (</w:t>
            </w:r>
            <w:r>
              <w:rPr>
                <w:rFonts w:ascii="Calibri" w:hAnsi="Calibri"/>
                <w:i/>
                <w:iCs/>
                <w:sz w:val="13"/>
                <w:szCs w:val="13"/>
              </w:rPr>
              <w:t xml:space="preserve">link </w:t>
            </w:r>
            <w:r>
              <w:rPr>
                <w:rFonts w:ascii="Calibri" w:hAnsi="Calibri"/>
                <w:sz w:val="13"/>
                <w:szCs w:val="13"/>
              </w:rPr>
              <w:t>al sito dell'ente)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 xml:space="preserve">Collegamento con i siti istituzionali degli enti pubblici vigilati </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restart"/>
            <w:tcBorders>
              <w:bottom w:val="nil"/>
            </w:tcBorders>
            <w:vAlign w:val="center"/>
          </w:tcPr>
          <w:p>
            <w:pPr>
              <w:pStyle w:val="Intestazione"/>
              <w:jc w:val="center"/>
              <w:rPr>
                <w:b/>
                <w:b/>
              </w:rPr>
            </w:pPr>
            <w:r>
              <w:rPr>
                <w:b/>
              </w:rPr>
              <w:t>Società partecipate</w:t>
            </w:r>
          </w:p>
        </w:tc>
        <w:tc>
          <w:tcPr>
            <w:tcW w:w="1134" w:type="dxa"/>
            <w:tcBorders/>
            <w:vAlign w:val="center"/>
          </w:tcPr>
          <w:p>
            <w:pPr>
              <w:pStyle w:val="Default"/>
              <w:jc w:val="center"/>
              <w:rPr>
                <w:rFonts w:ascii="Calibri" w:hAnsi="Calibri"/>
                <w:sz w:val="13"/>
                <w:szCs w:val="13"/>
                <w:lang w:val="en-US"/>
              </w:rPr>
            </w:pPr>
            <w:r>
              <w:rPr>
                <w:rFonts w:ascii="Calibri" w:hAnsi="Calibri"/>
                <w:sz w:val="13"/>
                <w:szCs w:val="13"/>
                <w:lang w:val="en-US"/>
              </w:rPr>
              <w:t xml:space="preserve">art. 22, c. 1, lett. b) </w:t>
            </w:r>
          </w:p>
        </w:tc>
        <w:tc>
          <w:tcPr>
            <w:tcW w:w="2268" w:type="dxa"/>
            <w:vMerge w:val="restart"/>
            <w:tcBorders/>
            <w:vAlign w:val="center"/>
          </w:tcPr>
          <w:p>
            <w:pPr>
              <w:pStyle w:val="Intestazione"/>
              <w:jc w:val="center"/>
              <w:rPr/>
            </w:pPr>
            <w:r>
              <w:rPr/>
              <w:t>Dati società partecipate</w:t>
            </w:r>
          </w:p>
          <w:p>
            <w:pPr>
              <w:pStyle w:val="Intestazione"/>
              <w:jc w:val="center"/>
              <w:rPr/>
            </w:pPr>
            <w:r>
              <w:rPr/>
            </w:r>
          </w:p>
          <w:p>
            <w:pPr>
              <w:pStyle w:val="Intestazione"/>
              <w:jc w:val="center"/>
              <w:rPr/>
            </w:pPr>
            <w:r>
              <w:rPr/>
              <w:t>(da pubblicare in tabelle)</w:t>
            </w:r>
          </w:p>
        </w:tc>
        <w:tc>
          <w:tcPr>
            <w:tcW w:w="5670" w:type="dxa"/>
            <w:tcBorders/>
            <w:vAlign w:val="center"/>
          </w:tcPr>
          <w:p>
            <w:pPr>
              <w:pStyle w:val="Default"/>
              <w:rPr>
                <w:rFonts w:ascii="Calibri" w:hAnsi="Calibri"/>
                <w:sz w:val="13"/>
                <w:szCs w:val="13"/>
              </w:rPr>
            </w:pPr>
            <w:r>
              <w:rPr>
                <w:rFonts w:ascii="Calibri" w:hAnsi="Calibri"/>
                <w:sz w:val="13"/>
                <w:szCs w:val="13"/>
              </w:rPr>
              <w:t>Elenco delle società di cui l'amministrazione detiene direttamente quote di partecipazione anche minoritaria, con l'indicazione dell'entità, delle funzioni attribuite e delle attività svolte in favore dell'amministrazione o delle attività di servizio pubblico affidate, ad esclusione delle società, partecipate da amministrazioni pubbliche, con azioni quotate in mercati regolamentati italiani o di altri paesi dell'Unione europea, e loro controllate. (art. 22, c. 6, d.lgs. n. 33/2013)</w:t>
            </w:r>
          </w:p>
        </w:tc>
        <w:tc>
          <w:tcPr>
            <w:tcW w:w="1134" w:type="dxa"/>
            <w:tcBorders/>
            <w:vAlign w:val="center"/>
          </w:tcPr>
          <w:p>
            <w:pPr>
              <w:pStyle w:val="Default"/>
              <w:jc w:val="center"/>
              <w:rPr>
                <w:rFonts w:ascii="Calibri" w:hAnsi="Calibri"/>
                <w:sz w:val="13"/>
                <w:szCs w:val="13"/>
                <w:lang w:val="en-US"/>
              </w:rPr>
            </w:pPr>
            <w:r>
              <w:rPr>
                <w:rFonts w:ascii="Calibri" w:hAnsi="Calibri"/>
                <w:sz w:val="13"/>
                <w:szCs w:val="13"/>
                <w:lang w:val="en-US"/>
              </w:rPr>
              <w:t>Annuale</w:t>
            </w:r>
          </w:p>
          <w:p>
            <w:pPr>
              <w:pStyle w:val="Default"/>
              <w:jc w:val="center"/>
              <w:rPr>
                <w:rFonts w:ascii="Calibri" w:hAnsi="Calibri"/>
                <w:sz w:val="13"/>
                <w:szCs w:val="13"/>
                <w:lang w:val="en-US"/>
              </w:rPr>
            </w:pPr>
            <w:r>
              <w:rPr>
                <w:rFonts w:ascii="Calibri" w:hAnsi="Calibri"/>
                <w:sz w:val="13"/>
                <w:szCs w:val="13"/>
                <w:lang w:val="en-US"/>
              </w:rPr>
              <w:t>art. 22, c. 1,</w:t>
            </w:r>
          </w:p>
          <w:p>
            <w:pPr>
              <w:pStyle w:val="Default"/>
              <w:jc w:val="center"/>
              <w:rPr>
                <w:rFonts w:ascii="Calibri" w:hAnsi="Calibri"/>
                <w:sz w:val="13"/>
                <w:szCs w:val="13"/>
                <w:lang w:val="en-US"/>
              </w:rPr>
            </w:pPr>
            <w:r>
              <w:rPr>
                <w:rFonts w:ascii="Calibri" w:hAnsi="Calibri"/>
                <w:sz w:val="13"/>
                <w:szCs w:val="13"/>
                <w:lang w:val="en-US"/>
              </w:rPr>
              <w:t xml:space="preserve"> </w:t>
            </w:r>
            <w:r>
              <w:rPr>
                <w:rFonts w:ascii="Calibri" w:hAnsi="Calibri"/>
                <w:sz w:val="13"/>
                <w:szCs w:val="13"/>
                <w:lang w:val="en-US"/>
              </w:rPr>
              <w:t>d.lgs. n. 33/2013</w:t>
            </w:r>
          </w:p>
        </w:tc>
        <w:tc>
          <w:tcPr>
            <w:tcW w:w="1305" w:type="dxa"/>
            <w:tcBorders/>
            <w:vAlign w:val="center"/>
          </w:tcPr>
          <w:p>
            <w:pPr>
              <w:pStyle w:val="Intestazione"/>
              <w:jc w:val="center"/>
              <w:rPr>
                <w:lang w:val="en-US"/>
              </w:rPr>
            </w:pPr>
            <w:r>
              <w:rPr>
                <w:lang w:val="en-US"/>
              </w:rPr>
            </w:r>
          </w:p>
        </w:tc>
        <w:tc>
          <w:tcPr>
            <w:tcW w:w="1273" w:type="dxa"/>
            <w:tcBorders/>
            <w:vAlign w:val="center"/>
          </w:tcPr>
          <w:p>
            <w:pPr>
              <w:pStyle w:val="Intestazione"/>
              <w:jc w:val="center"/>
              <w:rPr>
                <w:lang w:val="en-US"/>
              </w:rPr>
            </w:pPr>
            <w:r>
              <w:rPr>
                <w:lang w:val="en-US"/>
              </w:rPr>
            </w:r>
          </w:p>
        </w:tc>
      </w:tr>
      <w:tr>
        <w:trPr/>
        <w:tc>
          <w:tcPr>
            <w:tcW w:w="1134" w:type="dxa"/>
            <w:vMerge w:val="continue"/>
            <w:tcBorders>
              <w:bottom w:val="nil"/>
            </w:tcBorders>
            <w:vAlign w:val="center"/>
          </w:tcPr>
          <w:p>
            <w:pPr>
              <w:pStyle w:val="Intestazione"/>
              <w:jc w:val="center"/>
              <w:rPr>
                <w:lang w:val="en-US"/>
              </w:rPr>
            </w:pPr>
            <w:r>
              <w:rPr>
                <w:lang w:val="en-US"/>
              </w:rPr>
            </w:r>
          </w:p>
        </w:tc>
        <w:tc>
          <w:tcPr>
            <w:tcW w:w="1701" w:type="dxa"/>
            <w:vMerge w:val="continue"/>
            <w:tcBorders>
              <w:bottom w:val="nil"/>
            </w:tcBorders>
            <w:vAlign w:val="center"/>
          </w:tcPr>
          <w:p>
            <w:pPr>
              <w:pStyle w:val="Intestazione"/>
              <w:jc w:val="center"/>
              <w:rPr>
                <w:b/>
                <w:b/>
                <w:lang w:val="en-US"/>
              </w:rPr>
            </w:pPr>
            <w:r>
              <w:rPr>
                <w:b/>
                <w:lang w:val="en-US"/>
              </w:rPr>
            </w:r>
          </w:p>
        </w:tc>
        <w:tc>
          <w:tcPr>
            <w:tcW w:w="1134" w:type="dxa"/>
            <w:tcBorders/>
            <w:vAlign w:val="center"/>
          </w:tcPr>
          <w:p>
            <w:pPr>
              <w:pStyle w:val="Intestazione"/>
              <w:jc w:val="center"/>
              <w:rPr>
                <w:lang w:val="en-US"/>
              </w:rPr>
            </w:pPr>
            <w:r>
              <w:rPr>
                <w:lang w:val="en-US"/>
              </w:rPr>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rPr>
                <w:rFonts w:ascii="Calibri" w:hAnsi="Calibri"/>
                <w:sz w:val="13"/>
                <w:szCs w:val="13"/>
              </w:rPr>
            </w:pPr>
            <w:r>
              <w:rPr>
                <w:rFonts w:ascii="Calibri" w:hAnsi="Calibri"/>
                <w:sz w:val="13"/>
                <w:szCs w:val="13"/>
              </w:rPr>
              <w:t>Per ciascuna delle società:</w:t>
            </w:r>
          </w:p>
        </w:tc>
        <w:tc>
          <w:tcPr>
            <w:tcW w:w="1134" w:type="dxa"/>
            <w:vMerge w:val="restart"/>
            <w:tcBorders/>
            <w:vAlign w:val="center"/>
          </w:tcPr>
          <w:p>
            <w:pPr>
              <w:pStyle w:val="Default"/>
              <w:jc w:val="center"/>
              <w:rPr>
                <w:rFonts w:ascii="Calibri" w:hAnsi="Calibri"/>
                <w:sz w:val="13"/>
                <w:szCs w:val="13"/>
                <w:lang w:val="en-US"/>
              </w:rPr>
            </w:pPr>
            <w:r>
              <w:rPr>
                <w:rFonts w:ascii="Calibri" w:hAnsi="Calibri"/>
                <w:sz w:val="13"/>
                <w:szCs w:val="13"/>
                <w:lang w:val="en-US"/>
              </w:rPr>
              <w:t>Annuale</w:t>
            </w:r>
          </w:p>
          <w:p>
            <w:pPr>
              <w:pStyle w:val="Default"/>
              <w:jc w:val="center"/>
              <w:rPr>
                <w:rFonts w:ascii="Calibri" w:hAnsi="Calibri"/>
                <w:sz w:val="13"/>
                <w:szCs w:val="13"/>
                <w:lang w:val="en-US"/>
              </w:rPr>
            </w:pPr>
            <w:r>
              <w:rPr>
                <w:rFonts w:ascii="Calibri" w:hAnsi="Calibri"/>
                <w:sz w:val="13"/>
                <w:szCs w:val="13"/>
                <w:lang w:val="en-US"/>
              </w:rPr>
              <w:t>art. 22, c. 1,</w:t>
            </w:r>
          </w:p>
          <w:p>
            <w:pPr>
              <w:pStyle w:val="Default"/>
              <w:jc w:val="center"/>
              <w:rPr>
                <w:rFonts w:ascii="Calibri" w:hAnsi="Calibri"/>
                <w:sz w:val="13"/>
                <w:szCs w:val="13"/>
                <w:lang w:val="en-US"/>
              </w:rPr>
            </w:pPr>
            <w:r>
              <w:rPr>
                <w:rFonts w:ascii="Calibri" w:hAnsi="Calibri"/>
                <w:sz w:val="13"/>
                <w:szCs w:val="13"/>
                <w:lang w:val="en-US"/>
              </w:rPr>
              <w:t>d.lgs. n. 33/2013</w:t>
            </w:r>
          </w:p>
          <w:p>
            <w:pPr>
              <w:pStyle w:val="Default"/>
              <w:jc w:val="center"/>
              <w:rPr>
                <w:rFonts w:ascii="Calibri" w:hAnsi="Calibri"/>
                <w:sz w:val="13"/>
                <w:szCs w:val="13"/>
                <w:lang w:val="en-US"/>
              </w:rPr>
            </w:pPr>
            <w:r>
              <w:rPr>
                <w:rFonts w:ascii="Calibri" w:hAnsi="Calibri"/>
                <w:sz w:val="13"/>
                <w:szCs w:val="13"/>
                <w:lang w:val="en-US"/>
              </w:rPr>
            </w:r>
          </w:p>
        </w:tc>
        <w:tc>
          <w:tcPr>
            <w:tcW w:w="1305" w:type="dxa"/>
            <w:tcBorders/>
            <w:vAlign w:val="center"/>
          </w:tcPr>
          <w:p>
            <w:pPr>
              <w:pStyle w:val="Intestazione"/>
              <w:jc w:val="center"/>
              <w:rPr>
                <w:lang w:val="en-US"/>
              </w:rPr>
            </w:pPr>
            <w:r>
              <w:rPr>
                <w:lang w:val="en-US"/>
              </w:rPr>
            </w:r>
          </w:p>
        </w:tc>
        <w:tc>
          <w:tcPr>
            <w:tcW w:w="1273" w:type="dxa"/>
            <w:tcBorders/>
            <w:vAlign w:val="center"/>
          </w:tcPr>
          <w:p>
            <w:pPr>
              <w:pStyle w:val="Intestazione"/>
              <w:jc w:val="center"/>
              <w:rPr>
                <w:lang w:val="en-US"/>
              </w:rPr>
            </w:pPr>
            <w:r>
              <w:rPr>
                <w:lang w:val="en-US"/>
              </w:rPr>
            </w:r>
          </w:p>
        </w:tc>
      </w:tr>
      <w:tr>
        <w:trPr/>
        <w:tc>
          <w:tcPr>
            <w:tcW w:w="1134" w:type="dxa"/>
            <w:vMerge w:val="continue"/>
            <w:tcBorders>
              <w:bottom w:val="nil"/>
            </w:tcBorders>
            <w:vAlign w:val="center"/>
          </w:tcPr>
          <w:p>
            <w:pPr>
              <w:pStyle w:val="Intestazione"/>
              <w:jc w:val="center"/>
              <w:rPr>
                <w:lang w:val="en-US"/>
              </w:rPr>
            </w:pPr>
            <w:r>
              <w:rPr>
                <w:lang w:val="en-US"/>
              </w:rPr>
            </w:r>
          </w:p>
        </w:tc>
        <w:tc>
          <w:tcPr>
            <w:tcW w:w="1701" w:type="dxa"/>
            <w:vMerge w:val="continue"/>
            <w:tcBorders>
              <w:bottom w:val="nil"/>
            </w:tcBorders>
            <w:vAlign w:val="center"/>
          </w:tcPr>
          <w:p>
            <w:pPr>
              <w:pStyle w:val="Intestazione"/>
              <w:jc w:val="center"/>
              <w:rPr>
                <w:b/>
                <w:b/>
                <w:lang w:val="en-US"/>
              </w:rPr>
            </w:pPr>
            <w:r>
              <w:rPr>
                <w:b/>
                <w:lang w:val="en-US"/>
              </w:rPr>
            </w:r>
          </w:p>
        </w:tc>
        <w:tc>
          <w:tcPr>
            <w:tcW w:w="1134" w:type="dxa"/>
            <w:vMerge w:val="restart"/>
            <w:tcBorders/>
            <w:vAlign w:val="center"/>
          </w:tcPr>
          <w:p>
            <w:pPr>
              <w:pStyle w:val="Intestazione"/>
              <w:jc w:val="center"/>
              <w:rPr/>
            </w:pPr>
            <w:r>
              <w:rPr/>
              <w:t>art. 22, c. 2</w:t>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1) ragione sociale</w:t>
            </w:r>
          </w:p>
        </w:tc>
        <w:tc>
          <w:tcPr>
            <w:tcW w:w="1134" w:type="dxa"/>
            <w:vMerge w:val="continue"/>
            <w:tcBorders/>
          </w:tcPr>
          <w:p>
            <w:pPr>
              <w:pStyle w:val="Default"/>
              <w:rPr>
                <w:rFonts w:ascii="Calibri" w:hAnsi="Calibri"/>
                <w:sz w:val="13"/>
                <w:szCs w:val="13"/>
              </w:rPr>
            </w:pPr>
            <w:r>
              <w:rPr>
                <w:rFonts w:ascii="Calibri" w:hAnsi="Calibri"/>
                <w:sz w:val="13"/>
                <w:szCs w:val="13"/>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2) misura dell'eventuale partecipazione dell'amministrazione</w:t>
            </w:r>
          </w:p>
        </w:tc>
        <w:tc>
          <w:tcPr>
            <w:tcW w:w="1134" w:type="dxa"/>
            <w:vMerge w:val="continue"/>
            <w:tcBorders/>
          </w:tcPr>
          <w:p>
            <w:pPr>
              <w:pStyle w:val="Default"/>
              <w:rPr>
                <w:rFonts w:ascii="Calibri" w:hAnsi="Calibri"/>
                <w:sz w:val="13"/>
                <w:szCs w:val="13"/>
              </w:rPr>
            </w:pPr>
            <w:r>
              <w:rPr>
                <w:rFonts w:ascii="Calibri" w:hAnsi="Calibri"/>
                <w:sz w:val="13"/>
                <w:szCs w:val="13"/>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3) durata dell'impegno</w:t>
            </w:r>
          </w:p>
        </w:tc>
        <w:tc>
          <w:tcPr>
            <w:tcW w:w="1134" w:type="dxa"/>
            <w:vMerge w:val="continue"/>
            <w:tcBorders/>
          </w:tcPr>
          <w:p>
            <w:pPr>
              <w:pStyle w:val="Default"/>
              <w:rPr>
                <w:rFonts w:ascii="Calibri" w:hAnsi="Calibri"/>
                <w:sz w:val="13"/>
                <w:szCs w:val="13"/>
                <w:lang w:val="en-US"/>
              </w:rPr>
            </w:pPr>
            <w:r>
              <w:rPr>
                <w:rFonts w:ascii="Calibri" w:hAnsi="Calibri"/>
                <w:sz w:val="13"/>
                <w:szCs w:val="13"/>
                <w:lang w:val="en-US"/>
              </w:rPr>
            </w:r>
          </w:p>
        </w:tc>
        <w:tc>
          <w:tcPr>
            <w:tcW w:w="1305" w:type="dxa"/>
            <w:tcBorders/>
            <w:vAlign w:val="center"/>
          </w:tcPr>
          <w:p>
            <w:pPr>
              <w:pStyle w:val="Intestazione"/>
              <w:jc w:val="center"/>
              <w:rPr>
                <w:lang w:val="en-US"/>
              </w:rPr>
            </w:pPr>
            <w:r>
              <w:rPr>
                <w:lang w:val="en-US"/>
              </w:rPr>
            </w:r>
          </w:p>
        </w:tc>
        <w:tc>
          <w:tcPr>
            <w:tcW w:w="1273" w:type="dxa"/>
            <w:tcBorders/>
            <w:vAlign w:val="center"/>
          </w:tcPr>
          <w:p>
            <w:pPr>
              <w:pStyle w:val="Intestazione"/>
              <w:jc w:val="center"/>
              <w:rPr>
                <w:lang w:val="en-US"/>
              </w:rPr>
            </w:pPr>
            <w:r>
              <w:rPr>
                <w:lang w:val="en-US"/>
              </w:rPr>
            </w:r>
          </w:p>
        </w:tc>
      </w:tr>
      <w:tr>
        <w:trPr/>
        <w:tc>
          <w:tcPr>
            <w:tcW w:w="1134" w:type="dxa"/>
            <w:vMerge w:val="continue"/>
            <w:tcBorders>
              <w:bottom w:val="nil"/>
            </w:tcBorders>
            <w:vAlign w:val="center"/>
          </w:tcPr>
          <w:p>
            <w:pPr>
              <w:pStyle w:val="Intestazione"/>
              <w:jc w:val="center"/>
              <w:rPr>
                <w:lang w:val="en-US"/>
              </w:rPr>
            </w:pPr>
            <w:r>
              <w:rPr>
                <w:lang w:val="en-US"/>
              </w:rPr>
            </w:r>
          </w:p>
        </w:tc>
        <w:tc>
          <w:tcPr>
            <w:tcW w:w="1701" w:type="dxa"/>
            <w:vMerge w:val="continue"/>
            <w:tcBorders>
              <w:bottom w:val="nil"/>
            </w:tcBorders>
            <w:vAlign w:val="center"/>
          </w:tcPr>
          <w:p>
            <w:pPr>
              <w:pStyle w:val="Intestazione"/>
              <w:jc w:val="center"/>
              <w:rPr>
                <w:b/>
                <w:b/>
                <w:lang w:val="en-US"/>
              </w:rPr>
            </w:pPr>
            <w:r>
              <w:rPr>
                <w:b/>
                <w:lang w:val="en-US"/>
              </w:rPr>
            </w:r>
          </w:p>
        </w:tc>
        <w:tc>
          <w:tcPr>
            <w:tcW w:w="1134" w:type="dxa"/>
            <w:vMerge w:val="continue"/>
            <w:tcBorders/>
            <w:vAlign w:val="center"/>
          </w:tcPr>
          <w:p>
            <w:pPr>
              <w:pStyle w:val="Intestazione"/>
              <w:jc w:val="center"/>
              <w:rPr>
                <w:lang w:val="en-US"/>
              </w:rPr>
            </w:pPr>
            <w:r>
              <w:rPr>
                <w:lang w:val="en-US"/>
              </w:rPr>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rPr>
                <w:rFonts w:ascii="Calibri" w:hAnsi="Calibri"/>
                <w:sz w:val="13"/>
                <w:szCs w:val="13"/>
              </w:rPr>
            </w:pPr>
            <w:r>
              <w:rPr>
                <w:rFonts w:ascii="Calibri" w:hAnsi="Calibri"/>
                <w:sz w:val="13"/>
                <w:szCs w:val="13"/>
              </w:rPr>
              <w:t>4) onere complessivo a qualsiasi titolo gravante per l'anno sul bilancio dell'amministrazione</w:t>
            </w:r>
          </w:p>
        </w:tc>
        <w:tc>
          <w:tcPr>
            <w:tcW w:w="1134" w:type="dxa"/>
            <w:vMerge w:val="continue"/>
            <w:tcBorders/>
          </w:tcPr>
          <w:p>
            <w:pPr>
              <w:pStyle w:val="Default"/>
              <w:rPr>
                <w:rFonts w:ascii="Calibri" w:hAnsi="Calibri"/>
                <w:sz w:val="13"/>
                <w:szCs w:val="13"/>
              </w:rPr>
            </w:pPr>
            <w:r>
              <w:rPr>
                <w:rFonts w:ascii="Calibri" w:hAnsi="Calibri"/>
                <w:sz w:val="13"/>
                <w:szCs w:val="13"/>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5) numero dei rappresentanti dell'amministrazione negli organi di governo e trattamento economico complessivo a ciascuno di essi spettante</w:t>
            </w:r>
          </w:p>
        </w:tc>
        <w:tc>
          <w:tcPr>
            <w:tcW w:w="1134" w:type="dxa"/>
            <w:vMerge w:val="continue"/>
            <w:tcBorders/>
          </w:tcPr>
          <w:p>
            <w:pPr>
              <w:pStyle w:val="Default"/>
              <w:rPr>
                <w:rFonts w:ascii="Calibri" w:hAnsi="Calibri"/>
                <w:sz w:val="13"/>
                <w:szCs w:val="13"/>
              </w:rPr>
            </w:pPr>
            <w:r>
              <w:rPr>
                <w:rFonts w:ascii="Calibri" w:hAnsi="Calibri"/>
                <w:sz w:val="13"/>
                <w:szCs w:val="13"/>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6) risultati di bilancio degli ultimi tre esercizi finanziari</w:t>
            </w:r>
          </w:p>
        </w:tc>
        <w:tc>
          <w:tcPr>
            <w:tcW w:w="1134" w:type="dxa"/>
            <w:vMerge w:val="continue"/>
            <w:tcBorders/>
          </w:tcPr>
          <w:p>
            <w:pPr>
              <w:pStyle w:val="Default"/>
              <w:rPr>
                <w:rFonts w:ascii="Calibri" w:hAnsi="Calibri"/>
                <w:sz w:val="13"/>
                <w:szCs w:val="13"/>
              </w:rPr>
            </w:pPr>
            <w:r>
              <w:rPr>
                <w:rFonts w:ascii="Calibri" w:hAnsi="Calibri"/>
                <w:sz w:val="13"/>
                <w:szCs w:val="13"/>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rPr>
                <w:rFonts w:ascii="Calibri" w:hAnsi="Calibri"/>
                <w:sz w:val="13"/>
                <w:szCs w:val="13"/>
              </w:rPr>
            </w:pPr>
            <w:r>
              <w:rPr>
                <w:rFonts w:ascii="Calibri" w:hAnsi="Calibri"/>
                <w:sz w:val="13"/>
                <w:szCs w:val="13"/>
              </w:rPr>
              <w:t>7) incarichi di amministratore della società e relativo trattamento economico complessivo</w:t>
            </w:r>
          </w:p>
        </w:tc>
        <w:tc>
          <w:tcPr>
            <w:tcW w:w="1134" w:type="dxa"/>
            <w:vMerge w:val="continue"/>
            <w:tcBorders/>
          </w:tcPr>
          <w:p>
            <w:pPr>
              <w:pStyle w:val="Default"/>
              <w:rPr>
                <w:sz w:val="16"/>
                <w:szCs w:val="16"/>
              </w:rPr>
            </w:pPr>
            <w:r>
              <w:rPr>
                <w:sz w:val="16"/>
                <w:szCs w:val="16"/>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vMerge w:val="restart"/>
            <w:tcBorders/>
            <w:vAlign w:val="center"/>
          </w:tcPr>
          <w:p>
            <w:pPr>
              <w:pStyle w:val="Default"/>
              <w:jc w:val="center"/>
              <w:rPr>
                <w:rFonts w:ascii="Calibri" w:hAnsi="Calibri"/>
                <w:sz w:val="13"/>
                <w:szCs w:val="13"/>
              </w:rPr>
            </w:pPr>
            <w:r>
              <w:rPr>
                <w:rFonts w:ascii="Calibri" w:hAnsi="Calibri"/>
                <w:sz w:val="13"/>
                <w:szCs w:val="13"/>
              </w:rPr>
              <w:t>art. 20, c. 3</w:t>
            </w:r>
          </w:p>
          <w:p>
            <w:pPr>
              <w:pStyle w:val="Default"/>
              <w:jc w:val="center"/>
              <w:rPr>
                <w:rFonts w:ascii="Calibri" w:hAnsi="Calibri"/>
                <w:sz w:val="13"/>
                <w:szCs w:val="13"/>
              </w:rPr>
            </w:pPr>
            <w:r>
              <w:rPr>
                <w:rFonts w:ascii="Calibri" w:hAnsi="Calibri"/>
                <w:sz w:val="13"/>
                <w:szCs w:val="13"/>
              </w:rPr>
              <w:t>d.lgs. n. 39/2013</w:t>
            </w:r>
          </w:p>
        </w:tc>
        <w:tc>
          <w:tcPr>
            <w:tcW w:w="2268" w:type="dxa"/>
            <w:vMerge w:val="continue"/>
            <w:tcBorders/>
            <w:vAlign w:val="center"/>
          </w:tcPr>
          <w:p>
            <w:pPr>
              <w:pStyle w:val="Intestazione"/>
              <w:jc w:val="center"/>
              <w:rPr/>
            </w:pPr>
            <w:r>
              <w:rPr/>
            </w:r>
          </w:p>
        </w:tc>
        <w:tc>
          <w:tcPr>
            <w:tcW w:w="5670" w:type="dxa"/>
            <w:tcBorders/>
            <w:vAlign w:val="center"/>
          </w:tcPr>
          <w:tbl>
            <w:tblPr>
              <w:tblW w:w="9894" w:type="dxa"/>
              <w:jc w:val="left"/>
              <w:tblInd w:w="0" w:type="dxa"/>
              <w:tblCellMar>
                <w:top w:w="0" w:type="dxa"/>
                <w:left w:w="108" w:type="dxa"/>
                <w:bottom w:w="0" w:type="dxa"/>
                <w:right w:w="108" w:type="dxa"/>
              </w:tblCellMar>
              <w:tblLook w:firstRow="0" w:noVBand="0" w:lastRow="0" w:firstColumn="0" w:lastColumn="0" w:noHBand="0" w:val="0000"/>
            </w:tblPr>
            <w:tblGrid>
              <w:gridCol w:w="5670"/>
              <w:gridCol w:w="4223"/>
            </w:tblGrid>
            <w:tr>
              <w:trPr>
                <w:trHeight w:val="273" w:hRule="atLeast"/>
              </w:trPr>
              <w:tc>
                <w:tcPr>
                  <w:tcW w:w="5670" w:type="dxa"/>
                  <w:tcBorders/>
                  <w:vAlign w:val="center"/>
                </w:tcPr>
                <w:p>
                  <w:pPr>
                    <w:pStyle w:val="Normal"/>
                    <w:rPr>
                      <w:rFonts w:cs="Times New Roman"/>
                      <w:color w:val="000000"/>
                      <w:kern w:val="0"/>
                    </w:rPr>
                  </w:pPr>
                  <w:r>
                    <w:rPr>
                      <w:rFonts w:cs="Times New Roman"/>
                      <w:color w:val="000000"/>
                      <w:kern w:val="0"/>
                    </w:rPr>
                    <w:t>Dichiarazione sulla insussistenza di una delle cause di inconferibilità dell'incarico (</w:t>
                  </w:r>
                  <w:r>
                    <w:rPr>
                      <w:rFonts w:cs="Times New Roman"/>
                      <w:i/>
                      <w:iCs/>
                      <w:color w:val="000000"/>
                      <w:kern w:val="0"/>
                    </w:rPr>
                    <w:t xml:space="preserve">link </w:t>
                  </w:r>
                  <w:r>
                    <w:rPr>
                      <w:rFonts w:cs="Times New Roman"/>
                      <w:color w:val="000000"/>
                      <w:kern w:val="0"/>
                    </w:rPr>
                    <w:t>al sito dell'ente)</w:t>
                  </w:r>
                </w:p>
              </w:tc>
              <w:tc>
                <w:tcPr>
                  <w:tcW w:w="4223" w:type="dxa"/>
                  <w:tcBorders/>
                </w:tcPr>
                <w:p>
                  <w:pPr>
                    <w:pStyle w:val="Normal"/>
                    <w:rPr>
                      <w:rFonts w:cs="Times New Roman"/>
                      <w:color w:val="000000"/>
                      <w:kern w:val="0"/>
                    </w:rPr>
                  </w:pPr>
                  <w:r>
                    <w:rPr>
                      <w:rFonts w:cs="Times New Roman"/>
                      <w:color w:val="000000"/>
                      <w:kern w:val="0"/>
                    </w:rPr>
                  </w:r>
                </w:p>
              </w:tc>
            </w:tr>
          </w:tbl>
          <w:p>
            <w:pPr>
              <w:pStyle w:val="Default"/>
              <w:rPr>
                <w:rFonts w:ascii="Calibri" w:hAnsi="Calibri"/>
                <w:sz w:val="13"/>
                <w:szCs w:val="13"/>
              </w:rPr>
            </w:pPr>
            <w:r>
              <w:rPr>
                <w:rFonts w:ascii="Calibri" w:hAnsi="Calibri"/>
                <w:sz w:val="13"/>
                <w:szCs w:val="13"/>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Default"/>
              <w:jc w:val="center"/>
              <w:rPr>
                <w:rFonts w:ascii="Calibri" w:hAnsi="Calibri"/>
                <w:sz w:val="13"/>
                <w:szCs w:val="13"/>
                <w:lang w:val="en-US"/>
              </w:rPr>
            </w:pPr>
            <w:r>
              <w:rPr>
                <w:rFonts w:ascii="Calibri" w:hAnsi="Calibri"/>
                <w:sz w:val="13"/>
                <w:szCs w:val="13"/>
                <w:lang w:val="en-US"/>
              </w:rPr>
              <w:t>Tempestivo</w:t>
            </w:r>
          </w:p>
          <w:p>
            <w:pPr>
              <w:pStyle w:val="Default"/>
              <w:jc w:val="center"/>
              <w:rPr>
                <w:rFonts w:ascii="Calibri" w:hAnsi="Calibri"/>
                <w:sz w:val="13"/>
                <w:szCs w:val="13"/>
                <w:lang w:val="en-US"/>
              </w:rPr>
            </w:pPr>
            <w:r>
              <w:rPr>
                <w:rFonts w:ascii="Calibri" w:hAnsi="Calibri"/>
                <w:sz w:val="13"/>
                <w:szCs w:val="13"/>
                <w:lang w:val="en-US"/>
              </w:rPr>
              <w:t>art. 20, c. 1,</w:t>
            </w:r>
          </w:p>
          <w:p>
            <w:pPr>
              <w:pStyle w:val="Default"/>
              <w:jc w:val="center"/>
              <w:rPr>
                <w:rFonts w:ascii="Calibri" w:hAnsi="Calibri"/>
                <w:sz w:val="13"/>
                <w:szCs w:val="13"/>
                <w:lang w:val="en-US"/>
              </w:rPr>
            </w:pPr>
            <w:r>
              <w:rPr>
                <w:rFonts w:ascii="Calibri" w:hAnsi="Calibri"/>
                <w:sz w:val="13"/>
                <w:szCs w:val="13"/>
                <w:lang w:val="en-US"/>
              </w:rPr>
              <w:t xml:space="preserve">d.lgs. n. 39/2013 </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tbl>
            <w:tblPr>
              <w:tblW w:w="5670" w:type="dxa"/>
              <w:jc w:val="left"/>
              <w:tblInd w:w="0" w:type="dxa"/>
              <w:tblCellMar>
                <w:top w:w="0" w:type="dxa"/>
                <w:left w:w="108" w:type="dxa"/>
                <w:bottom w:w="0" w:type="dxa"/>
                <w:right w:w="108" w:type="dxa"/>
              </w:tblCellMar>
              <w:tblLook w:firstRow="0" w:noVBand="0" w:lastRow="0" w:firstColumn="0" w:lastColumn="0" w:noHBand="0" w:val="0000"/>
            </w:tblPr>
            <w:tblGrid>
              <w:gridCol w:w="5670"/>
            </w:tblGrid>
            <w:tr>
              <w:trPr>
                <w:trHeight w:val="273" w:hRule="atLeast"/>
              </w:trPr>
              <w:tc>
                <w:tcPr>
                  <w:tcW w:w="5670" w:type="dxa"/>
                  <w:tcBorders/>
                </w:tcPr>
                <w:p>
                  <w:pPr>
                    <w:pStyle w:val="Normal"/>
                    <w:rPr>
                      <w:rFonts w:cs="Times New Roman"/>
                      <w:color w:val="000000"/>
                      <w:kern w:val="0"/>
                    </w:rPr>
                  </w:pPr>
                  <w:r>
                    <w:rPr>
                      <w:rFonts w:cs="Times New Roman"/>
                      <w:color w:val="000000"/>
                      <w:kern w:val="0"/>
                    </w:rPr>
                    <w:t>Dichiarazione sulla insussistenza di una delle cause di incompatibilità al conferimento dell'incarico (</w:t>
                  </w:r>
                  <w:r>
                    <w:rPr>
                      <w:rFonts w:cs="Times New Roman"/>
                      <w:i/>
                      <w:iCs/>
                      <w:color w:val="000000"/>
                      <w:kern w:val="0"/>
                    </w:rPr>
                    <w:t xml:space="preserve">link </w:t>
                  </w:r>
                  <w:r>
                    <w:rPr>
                      <w:rFonts w:cs="Times New Roman"/>
                      <w:color w:val="000000"/>
                      <w:kern w:val="0"/>
                    </w:rPr>
                    <w:t>al sito dell'ente)</w:t>
                  </w:r>
                </w:p>
              </w:tc>
            </w:tr>
          </w:tbl>
          <w:p>
            <w:pPr>
              <w:pStyle w:val="Default"/>
              <w:rPr>
                <w:rFonts w:ascii="Calibri" w:hAnsi="Calibri"/>
                <w:sz w:val="13"/>
                <w:szCs w:val="13"/>
              </w:rPr>
            </w:pPr>
            <w:r>
              <w:rPr>
                <w:rFonts w:ascii="Calibri" w:hAnsi="Calibri"/>
                <w:sz w:val="13"/>
                <w:szCs w:val="13"/>
              </w:rPr>
            </w:r>
          </w:p>
        </w:tc>
        <w:tc>
          <w:tcPr>
            <w:tcW w:w="1134" w:type="dxa"/>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CellMar>
                <w:top w:w="0" w:type="dxa"/>
                <w:left w:w="108" w:type="dxa"/>
                <w:bottom w:w="0" w:type="dxa"/>
                <w:right w:w="108" w:type="dxa"/>
              </w:tblCellMar>
              <w:tblLook w:firstRow="0" w:noVBand="0" w:lastRow="0" w:firstColumn="0" w:lastColumn="0" w:noHBand="0" w:val="0000"/>
            </w:tblPr>
            <w:tblGrid>
              <w:gridCol w:w="1078"/>
            </w:tblGrid>
            <w:tr>
              <w:trPr>
                <w:trHeight w:val="273" w:hRule="atLeast"/>
              </w:trPr>
              <w:tc>
                <w:tcPr>
                  <w:tcW w:w="1078" w:type="dxa"/>
                  <w:tcBorders/>
                  <w:vAlign w:val="center"/>
                </w:tcPr>
                <w:p>
                  <w:pPr>
                    <w:pStyle w:val="Default"/>
                    <w:rPr>
                      <w:rFonts w:ascii="Calibri" w:hAnsi="Calibri"/>
                      <w:sz w:val="13"/>
                      <w:szCs w:val="13"/>
                      <w:lang w:val="en-US"/>
                    </w:rPr>
                  </w:pPr>
                  <w:r>
                    <w:rPr>
                      <w:rFonts w:ascii="Calibri" w:hAnsi="Calibri"/>
                      <w:sz w:val="13"/>
                      <w:szCs w:val="13"/>
                      <w:lang w:val="en-US"/>
                    </w:rPr>
                    <w:t>Annuale</w:t>
                  </w:r>
                </w:p>
                <w:p>
                  <w:pPr>
                    <w:pStyle w:val="Default"/>
                    <w:rPr>
                      <w:rFonts w:ascii="Calibri" w:hAnsi="Calibri"/>
                      <w:sz w:val="13"/>
                      <w:szCs w:val="13"/>
                      <w:lang w:val="en-US"/>
                    </w:rPr>
                  </w:pPr>
                  <w:r>
                    <w:rPr>
                      <w:rFonts w:ascii="Calibri" w:hAnsi="Calibri"/>
                      <w:sz w:val="13"/>
                      <w:szCs w:val="13"/>
                      <w:lang w:val="en-US"/>
                    </w:rPr>
                    <w:t>art. 20, c. 2</w:t>
                  </w:r>
                </w:p>
                <w:p>
                  <w:pPr>
                    <w:pStyle w:val="Default"/>
                    <w:rPr>
                      <w:rFonts w:ascii="Calibri" w:hAnsi="Calibri"/>
                      <w:sz w:val="13"/>
                      <w:szCs w:val="13"/>
                      <w:lang w:val="en-US"/>
                    </w:rPr>
                  </w:pPr>
                  <w:r>
                    <w:rPr>
                      <w:rFonts w:ascii="Calibri" w:hAnsi="Calibri"/>
                      <w:sz w:val="13"/>
                      <w:szCs w:val="13"/>
                      <w:lang w:val="en-US"/>
                    </w:rPr>
                    <w:t>d.lgs. n. 39/2013)</w:t>
                  </w:r>
                </w:p>
              </w:tc>
            </w:tr>
          </w:tbl>
          <w:p>
            <w:pPr>
              <w:pStyle w:val="Intestazione"/>
              <w:jc w:val="center"/>
              <w:rPr>
                <w:lang w:val="en-US"/>
              </w:rPr>
            </w:pPr>
            <w:r>
              <w:rPr>
                <w:lang w:val="en-US"/>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Collegamento con i siti istituzionali delle società partecipate</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Default"/>
              <w:jc w:val="center"/>
              <w:rPr>
                <w:rFonts w:ascii="Calibri" w:hAnsi="Calibri"/>
                <w:sz w:val="13"/>
                <w:szCs w:val="13"/>
                <w:lang w:val="en-US"/>
              </w:rPr>
            </w:pPr>
            <w:r>
              <w:rPr>
                <w:rFonts w:ascii="Calibri" w:hAnsi="Calibri"/>
                <w:sz w:val="13"/>
                <w:szCs w:val="13"/>
                <w:lang w:val="en-US"/>
              </w:rPr>
              <w:t>Annuale</w:t>
            </w:r>
          </w:p>
          <w:p>
            <w:pPr>
              <w:pStyle w:val="Default"/>
              <w:jc w:val="center"/>
              <w:rPr>
                <w:rFonts w:ascii="Calibri" w:hAnsi="Calibri"/>
                <w:sz w:val="13"/>
                <w:szCs w:val="13"/>
                <w:lang w:val="en-US"/>
              </w:rPr>
            </w:pPr>
            <w:r>
              <w:rPr>
                <w:rFonts w:ascii="Calibri" w:hAnsi="Calibri"/>
                <w:sz w:val="13"/>
                <w:szCs w:val="13"/>
                <w:lang w:val="en-US"/>
              </w:rPr>
              <w:t>art. 22, c. 1,</w:t>
            </w:r>
          </w:p>
          <w:p>
            <w:pPr>
              <w:pStyle w:val="Default"/>
              <w:jc w:val="center"/>
              <w:rPr>
                <w:rFonts w:ascii="Calibri" w:hAnsi="Calibri"/>
                <w:sz w:val="13"/>
                <w:szCs w:val="13"/>
                <w:lang w:val="en-US"/>
              </w:rPr>
            </w:pPr>
            <w:r>
              <w:rPr>
                <w:rFonts w:ascii="Calibri" w:hAnsi="Calibri"/>
                <w:sz w:val="13"/>
                <w:szCs w:val="13"/>
                <w:lang w:val="en-US"/>
              </w:rPr>
              <w:t>d.lgs. n.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b/>
              </w:rPr>
              <w:t>Enti controllati</w:t>
            </w:r>
          </w:p>
          <w:p>
            <w:pPr>
              <w:pStyle w:val="Intestazione"/>
              <w:jc w:val="center"/>
              <w:rPr/>
            </w:pPr>
            <w:r>
              <w:rPr/>
            </w:r>
          </w:p>
          <w:p>
            <w:pPr>
              <w:pStyle w:val="Intestazione"/>
              <w:jc w:val="center"/>
              <w:rPr>
                <w:lang w:val="en-US"/>
              </w:rPr>
            </w:pPr>
            <w:r>
              <w:rPr>
                <w:lang w:val="en-US"/>
              </w:rPr>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t>Società partecipate</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Default"/>
              <w:jc w:val="center"/>
              <w:rPr>
                <w:rFonts w:ascii="Calibri" w:hAnsi="Calibri"/>
                <w:sz w:val="13"/>
                <w:szCs w:val="13"/>
                <w:lang w:val="en-US"/>
              </w:rPr>
            </w:pPr>
            <w:r>
              <w:rPr>
                <w:rFonts w:ascii="Calibri" w:hAnsi="Calibri"/>
                <w:sz w:val="13"/>
                <w:szCs w:val="13"/>
                <w:lang w:val="en-US"/>
              </w:rPr>
              <w:t>art. 22, c. 1</w:t>
            </w:r>
          </w:p>
          <w:p>
            <w:pPr>
              <w:pStyle w:val="Default"/>
              <w:jc w:val="center"/>
              <w:rPr>
                <w:rFonts w:ascii="Calibri" w:hAnsi="Calibri"/>
                <w:sz w:val="13"/>
                <w:szCs w:val="13"/>
                <w:lang w:val="en-US"/>
              </w:rPr>
            </w:pPr>
            <w:r>
              <w:rPr>
                <w:rFonts w:ascii="Calibri" w:hAnsi="Calibri"/>
                <w:sz w:val="13"/>
                <w:szCs w:val="13"/>
                <w:lang w:val="en-US"/>
              </w:rPr>
              <w:t xml:space="preserve"> </w:t>
            </w:r>
            <w:r>
              <w:rPr>
                <w:rFonts w:ascii="Calibri" w:hAnsi="Calibri"/>
                <w:sz w:val="13"/>
                <w:szCs w:val="13"/>
                <w:lang w:val="en-US"/>
              </w:rPr>
              <w:t>lett. d-bis</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t>Provvedimenti</w:t>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Provvedimenti in materia di costituzione di società a partecipazione pubblica, acquisto di partecipazioni in società già costituite, gestione delle partecipazioni pubbliche, alienazione di partecipazioni sociali, quotazione di società a controllo pubblico in mercati regolamentati e razionalizzazione periodica delle partecipazioni pubbliche, previsti dal decreto legislativo adottato ai sensi dell'articolo 18 della legge 7 agosto 2015, n. 124 (art. 20 d.lgs 175/2016</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Default"/>
              <w:jc w:val="center"/>
              <w:rPr>
                <w:rFonts w:ascii="Calibri" w:hAnsi="Calibri"/>
                <w:sz w:val="13"/>
                <w:szCs w:val="13"/>
              </w:rPr>
            </w:pPr>
            <w:r>
              <w:rPr>
                <w:rFonts w:ascii="Calibri" w:hAnsi="Calibri"/>
                <w:sz w:val="13"/>
                <w:szCs w:val="13"/>
              </w:rPr>
              <w:t>Tempestivo</w:t>
            </w:r>
          </w:p>
          <w:p>
            <w:pPr>
              <w:pStyle w:val="Intestazione"/>
              <w:jc w:val="center"/>
              <w:rPr/>
            </w:pPr>
            <w:r>
              <w:rPr/>
              <w:t>ex art. 8, d.lgs. n.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Default"/>
              <w:jc w:val="center"/>
              <w:rPr>
                <w:rFonts w:ascii="Calibri" w:hAnsi="Calibri"/>
                <w:sz w:val="13"/>
                <w:szCs w:val="13"/>
              </w:rPr>
            </w:pPr>
            <w:r>
              <w:rPr>
                <w:rFonts w:ascii="Calibri" w:hAnsi="Calibri"/>
                <w:sz w:val="13"/>
                <w:szCs w:val="13"/>
              </w:rPr>
              <w:t>art. 19, c. 7,</w:t>
            </w:r>
          </w:p>
          <w:p>
            <w:pPr>
              <w:pStyle w:val="Default"/>
              <w:jc w:val="center"/>
              <w:rPr>
                <w:rFonts w:ascii="Calibri" w:hAnsi="Calibri"/>
                <w:sz w:val="13"/>
                <w:szCs w:val="13"/>
              </w:rPr>
            </w:pPr>
            <w:r>
              <w:rPr>
                <w:rFonts w:ascii="Calibri" w:hAnsi="Calibri"/>
                <w:sz w:val="13"/>
                <w:szCs w:val="13"/>
              </w:rPr>
              <w:t>d.lgs. n. 175/2016</w:t>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Provvedimenti con cui le amministrazioni pubbliche socie fissano obiettivi specifici, annuali e pluriennali, sul complesso delle spese di funzionamento, ivi comprese quelle per il personale, delle società controllate</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Provvedimenti con cui le società a controllo pubblico garantiscono il concreto perseguimento degli obiettivi specifici, annuali e pluriennali, sul complesso delle spese di funzionamento</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t>Enti di diritto privato controllati</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t>art.22, c. 1. lett. c)</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t>Enti di diritto privato</w:t>
            </w:r>
          </w:p>
          <w:p>
            <w:pPr>
              <w:pStyle w:val="Intestazione"/>
              <w:jc w:val="center"/>
              <w:rPr/>
            </w:pPr>
            <w:r>
              <w:rPr/>
              <w:t>in controllo pubblico</w:t>
            </w:r>
          </w:p>
          <w:p>
            <w:pPr>
              <w:pStyle w:val="Intestazione"/>
              <w:jc w:val="center"/>
              <w:rPr/>
            </w:pPr>
            <w:r>
              <w:rPr/>
            </w:r>
          </w:p>
          <w:p>
            <w:pPr>
              <w:pStyle w:val="Intestazione"/>
              <w:jc w:val="center"/>
              <w:rPr/>
            </w:pPr>
            <w:r>
              <w:rPr/>
              <w:t>(da pubblicare in tabelle)</w:t>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Elenco degli enti di diritto privato, comunque denominati, in controllo dell'amministrazione, con l'indicazione delle funzioni attribuite e delle attività svolte in favore dell'amministrazione o delle attività di servizio pubblico affidate</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Default"/>
              <w:jc w:val="center"/>
              <w:rPr>
                <w:rFonts w:ascii="Calibri" w:hAnsi="Calibri"/>
                <w:sz w:val="13"/>
                <w:szCs w:val="13"/>
                <w:lang w:val="en-US"/>
              </w:rPr>
            </w:pPr>
            <w:r>
              <w:rPr>
                <w:rFonts w:ascii="Calibri" w:hAnsi="Calibri"/>
                <w:sz w:val="13"/>
                <w:szCs w:val="13"/>
                <w:lang w:val="en-US"/>
              </w:rPr>
              <w:t>Annuale</w:t>
            </w:r>
          </w:p>
          <w:p>
            <w:pPr>
              <w:pStyle w:val="Default"/>
              <w:jc w:val="center"/>
              <w:rPr>
                <w:rFonts w:ascii="Calibri" w:hAnsi="Calibri"/>
                <w:sz w:val="13"/>
                <w:szCs w:val="13"/>
                <w:lang w:val="en-US"/>
              </w:rPr>
            </w:pPr>
            <w:r>
              <w:rPr>
                <w:rFonts w:ascii="Calibri" w:hAnsi="Calibri"/>
                <w:sz w:val="13"/>
                <w:szCs w:val="13"/>
                <w:lang w:val="en-US"/>
              </w:rPr>
              <w:t>art. 22, c. 1,</w:t>
            </w:r>
          </w:p>
          <w:p>
            <w:pPr>
              <w:pStyle w:val="Default"/>
              <w:jc w:val="center"/>
              <w:rPr>
                <w:rFonts w:ascii="Calibri" w:hAnsi="Calibri"/>
                <w:sz w:val="13"/>
                <w:szCs w:val="13"/>
                <w:lang w:val="en-US"/>
              </w:rPr>
            </w:pPr>
            <w:r>
              <w:rPr>
                <w:rFonts w:ascii="Calibri" w:hAnsi="Calibri"/>
                <w:sz w:val="13"/>
                <w:szCs w:val="13"/>
                <w:lang w:val="en-US"/>
              </w:rPr>
              <w:t>d.lgs. n.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Intestazione"/>
              <w:rPr>
                <w:lang w:val="en-US"/>
              </w:rPr>
            </w:pPr>
            <w:r>
              <w:rPr>
                <w:lang w:val="en-US"/>
              </w:rPr>
              <w:t>Per ciascuno degli enti:</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Intestazione"/>
              <w:numPr>
                <w:ilvl w:val="0"/>
                <w:numId w:val="2"/>
              </w:numPr>
              <w:tabs>
                <w:tab w:val="clear" w:pos="4819"/>
                <w:tab w:val="clear" w:pos="9638"/>
              </w:tabs>
              <w:ind w:left="0" w:hanging="0"/>
              <w:rPr>
                <w:lang w:val="en-US"/>
              </w:rPr>
            </w:pPr>
            <w:r>
              <w:rPr>
                <w:lang w:val="en-US"/>
              </w:rPr>
              <w:t xml:space="preserve"> </w:t>
            </w:r>
            <w:r>
              <w:rPr>
                <w:lang w:val="en-US"/>
              </w:rPr>
              <w:t>ragione sociale</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2) misura dell'eventuale partecipazione dell'amministrazione</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3) durata dell'impegno</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US"/>
              </w:rPr>
            </w:pPr>
            <w:r>
              <w:rPr>
                <w:b/>
                <w:lang w:val="en-US"/>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US"/>
              </w:rPr>
            </w:pPr>
            <w:r>
              <w:rPr>
                <w:lang w:val="en-US"/>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US"/>
              </w:rPr>
            </w:pPr>
            <w:r>
              <w:rPr>
                <w:lang w:val="en-US"/>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4) onere complessivo a qualsiasi titolo gravante per l'anno sul bilancio dell'amministrazione</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pPr>
            <w:r>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5) numero dei rappresentanti dell'amministrazione negli organi di governo e trattamento economico complessivo a ciascuno di essi spettante</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pPr>
            <w:r>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6) risultati di bilancio degli ultimi tre esercizi finanziari</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pPr>
            <w:r>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7) incarichi di amministratore dell'ente e relativo trattamento economico complessivo</w:t>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t>art. 20, c. 3</w:t>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pPr>
            <w:r>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Dichiarazione sulla insussistenza di una delle cause di inconferibilità dell'incarico (</w:t>
            </w:r>
            <w:r>
              <w:rPr>
                <w:rFonts w:ascii="Calibri" w:hAnsi="Calibri"/>
                <w:i/>
                <w:iCs/>
                <w:sz w:val="13"/>
                <w:szCs w:val="13"/>
              </w:rPr>
              <w:t xml:space="preserve">link </w:t>
            </w:r>
            <w:r>
              <w:rPr>
                <w:rFonts w:ascii="Calibri" w:hAnsi="Calibri"/>
                <w:sz w:val="13"/>
                <w:szCs w:val="13"/>
              </w:rPr>
              <w:t>al sito dell'ente)</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t>Annuale</w:t>
            </w:r>
          </w:p>
          <w:p>
            <w:pPr>
              <w:pStyle w:val="Intestazione"/>
              <w:jc w:val="center"/>
              <w:rPr>
                <w:lang w:val="en-GB"/>
              </w:rPr>
            </w:pPr>
            <w:r>
              <w:rPr>
                <w:lang w:val="en-GB"/>
              </w:rPr>
              <w:t>art. 20, c. 1</w:t>
            </w:r>
          </w:p>
          <w:p>
            <w:pPr>
              <w:pStyle w:val="Intestazione"/>
              <w:jc w:val="center"/>
              <w:rPr>
                <w:lang w:val="en-GB"/>
              </w:rPr>
            </w:pPr>
            <w:r>
              <w:rPr>
                <w:lang w:val="en-GB"/>
              </w:rPr>
              <w:t>d.lgs.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GB"/>
              </w:rPr>
            </w:pPr>
            <w:r>
              <w:rPr>
                <w:b/>
                <w:lang w:val="en-GB"/>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GB"/>
              </w:rPr>
            </w:pPr>
            <w:r>
              <w:rPr>
                <w:lang w:val="en-GB"/>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Dichiarazione sulla insussistenza di una delle cause di incompatibilità al conferimento dell'incarico (</w:t>
            </w:r>
            <w:r>
              <w:rPr>
                <w:rFonts w:ascii="Calibri" w:hAnsi="Calibri"/>
                <w:i/>
                <w:iCs/>
                <w:sz w:val="13"/>
                <w:szCs w:val="13"/>
              </w:rPr>
              <w:t xml:space="preserve">link </w:t>
            </w:r>
            <w:r>
              <w:rPr>
                <w:rFonts w:ascii="Calibri" w:hAnsi="Calibri"/>
                <w:sz w:val="13"/>
                <w:szCs w:val="13"/>
              </w:rPr>
              <w:t>al sito dell'ente)</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t>Annuale</w:t>
            </w:r>
          </w:p>
          <w:p>
            <w:pPr>
              <w:pStyle w:val="Intestazione"/>
              <w:jc w:val="center"/>
              <w:rPr>
                <w:lang w:val="en-GB"/>
              </w:rPr>
            </w:pPr>
            <w:r>
              <w:rPr>
                <w:lang w:val="en-GB"/>
              </w:rPr>
              <w:t>art. 20, c. 2</w:t>
            </w:r>
          </w:p>
          <w:p>
            <w:pPr>
              <w:pStyle w:val="Intestazione"/>
              <w:jc w:val="center"/>
              <w:rPr>
                <w:lang w:val="en-GB"/>
              </w:rPr>
            </w:pPr>
            <w:r>
              <w:rPr>
                <w:lang w:val="en-GB"/>
              </w:rPr>
              <w:t>d.lgs.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lang w:val="en-GB"/>
              </w:rPr>
            </w:pPr>
            <w:r>
              <w:rPr>
                <w:b/>
                <w:lang w:val="en-GB"/>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2268"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rPr>
                <w:lang w:val="en-GB"/>
              </w:rPr>
            </w:pPr>
            <w:r>
              <w:rPr>
                <w:lang w:val="en-GB"/>
              </w:rPr>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3"/>
                <w:szCs w:val="13"/>
              </w:rPr>
            </w:pPr>
            <w:r>
              <w:rPr>
                <w:rFonts w:ascii="Calibri" w:hAnsi="Calibri"/>
                <w:sz w:val="13"/>
                <w:szCs w:val="13"/>
              </w:rPr>
              <w:t xml:space="preserve">Collegamento con i siti istituzionali degli enti di diritto privato controllati </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t>Annuale</w:t>
            </w:r>
          </w:p>
          <w:p>
            <w:pPr>
              <w:pStyle w:val="Intestazione"/>
              <w:jc w:val="center"/>
              <w:rPr>
                <w:lang w:val="en-GB"/>
              </w:rPr>
            </w:pPr>
            <w:r>
              <w:rPr>
                <w:lang w:val="en-GB"/>
              </w:rPr>
              <w:t>art. 20, c. 1</w:t>
            </w:r>
          </w:p>
          <w:p>
            <w:pPr>
              <w:pStyle w:val="Intestazione"/>
              <w:jc w:val="center"/>
              <w:rPr>
                <w:lang w:val="en-GB"/>
              </w:rPr>
            </w:pPr>
            <w:r>
              <w:rPr>
                <w:lang w:val="en-GB"/>
              </w:rPr>
              <w:t>d.lgs.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b/>
                <w:b/>
              </w:rPr>
            </w:pPr>
            <w:r>
              <w:rPr>
                <w:b/>
              </w:rPr>
              <w:t>Rappresentazione grafica</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Default"/>
              <w:jc w:val="center"/>
              <w:rPr>
                <w:sz w:val="16"/>
                <w:szCs w:val="16"/>
              </w:rPr>
            </w:pPr>
            <w:r>
              <w:rPr>
                <w:sz w:val="16"/>
                <w:szCs w:val="16"/>
              </w:rPr>
              <w:t xml:space="preserve">art. 22, c. 1, lett. d) </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pPr>
            <w:r>
              <w:rPr/>
              <w:t>Rappresentazione Grafica</w:t>
            </w:r>
          </w:p>
        </w:tc>
        <w:tc>
          <w:tcPr>
            <w:tcW w:w="5670" w:type="dxa"/>
            <w:tcBorders>
              <w:top w:val="single" w:sz="4" w:space="0" w:color="000000"/>
              <w:left w:val="single" w:sz="4" w:space="0" w:color="000000"/>
              <w:bottom w:val="single" w:sz="4" w:space="0" w:color="000000"/>
              <w:right w:val="single" w:sz="4" w:space="0" w:color="000000"/>
            </w:tcBorders>
            <w:vAlign w:val="center"/>
          </w:tcPr>
          <w:p>
            <w:pPr>
              <w:pStyle w:val="Default"/>
              <w:rPr>
                <w:rFonts w:ascii="Calibri" w:hAnsi="Calibri"/>
                <w:sz w:val="16"/>
                <w:szCs w:val="16"/>
              </w:rPr>
            </w:pPr>
            <w:r>
              <w:rPr>
                <w:rFonts w:ascii="Calibri" w:hAnsi="Calibri"/>
                <w:sz w:val="16"/>
                <w:szCs w:val="16"/>
              </w:rPr>
              <w:t>Una o più rappresentazioni grafiche che evidenziano i rapporti tra l'amministrazione e gli enti pubblici vigilati, le società partecipate, gli enti di diritto privato controllati</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t>Annuale</w:t>
            </w:r>
          </w:p>
          <w:p>
            <w:pPr>
              <w:pStyle w:val="Intestazione"/>
              <w:jc w:val="center"/>
              <w:rPr>
                <w:lang w:val="en-GB"/>
              </w:rPr>
            </w:pPr>
            <w:r>
              <w:rPr>
                <w:lang w:val="en-GB"/>
              </w:rPr>
              <w:t>art. 22, c. 1</w:t>
            </w:r>
          </w:p>
          <w:p>
            <w:pPr>
              <w:pStyle w:val="Intestazione"/>
              <w:jc w:val="center"/>
              <w:rPr>
                <w:lang w:val="en-GB"/>
              </w:rPr>
            </w:pPr>
            <w:r>
              <w:rPr>
                <w:lang w:val="en-GB"/>
              </w:rPr>
              <w:t>d.lgs. 33/2013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lang w:val="en-GB"/>
              </w:rPr>
            </w:pPr>
            <w:r>
              <w:rPr>
                <w:lang w:val="en-GB"/>
              </w:rPr>
            </w:r>
          </w:p>
        </w:tc>
      </w:tr>
    </w:tbl>
    <w:p>
      <w:pPr>
        <w:pStyle w:val="Normal"/>
        <w:rPr>
          <w:lang w:val="en-GB"/>
        </w:rPr>
      </w:pPr>
      <w:r>
        <w:rPr>
          <w:lang w:val="en-GB"/>
        </w:rPr>
      </w:r>
    </w:p>
    <w:p>
      <w:pPr>
        <w:pStyle w:val="Normal"/>
        <w:rPr>
          <w:lang w:val="en-GB"/>
        </w:rPr>
      </w:pPr>
      <w:r>
        <w:rPr>
          <w:lang w:val="en-GB"/>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Attività e procedimenti</w:t>
            </w:r>
          </w:p>
        </w:tc>
        <w:tc>
          <w:tcPr>
            <w:tcW w:w="1701" w:type="dxa"/>
            <w:tcBorders/>
            <w:shd w:color="auto" w:fill="D9D9D9" w:themeFill="background1" w:themeFillShade="d9" w:val="clear"/>
            <w:vAlign w:val="center"/>
          </w:tcPr>
          <w:p>
            <w:pPr>
              <w:pStyle w:val="Default"/>
              <w:jc w:val="center"/>
              <w:rPr>
                <w:rFonts w:ascii="Calibri" w:hAnsi="Calibri"/>
                <w:b/>
                <w:b/>
                <w:sz w:val="13"/>
                <w:szCs w:val="13"/>
              </w:rPr>
            </w:pPr>
            <w:r>
              <w:rPr>
                <w:rFonts w:ascii="Calibri" w:hAnsi="Calibri"/>
                <w:b/>
                <w:sz w:val="13"/>
                <w:szCs w:val="13"/>
              </w:rPr>
              <w:t>Dati aggregati attività amministrativa</w:t>
            </w:r>
          </w:p>
        </w:tc>
        <w:tc>
          <w:tcPr>
            <w:tcW w:w="1134" w:type="dxa"/>
            <w:tcBorders/>
            <w:shd w:color="auto" w:fill="D9D9D9" w:themeFill="background1" w:themeFillShade="d9" w:val="clear"/>
            <w:vAlign w:val="center"/>
          </w:tcPr>
          <w:p>
            <w:pPr>
              <w:pStyle w:val="Default"/>
              <w:jc w:val="center"/>
              <w:rPr>
                <w:rFonts w:ascii="Calibri" w:hAnsi="Calibri"/>
                <w:sz w:val="13"/>
                <w:szCs w:val="13"/>
              </w:rPr>
            </w:pPr>
            <w:r>
              <w:rPr>
                <w:rFonts w:ascii="Calibri" w:hAnsi="Calibri"/>
                <w:sz w:val="13"/>
                <w:szCs w:val="13"/>
              </w:rPr>
              <w:t>art. 24, c. 1</w:t>
            </w:r>
          </w:p>
        </w:tc>
        <w:tc>
          <w:tcPr>
            <w:tcW w:w="2268" w:type="dxa"/>
            <w:tcBorders/>
            <w:shd w:color="auto" w:fill="D9D9D9" w:themeFill="background1" w:themeFillShade="d9" w:val="clear"/>
            <w:vAlign w:val="center"/>
          </w:tcPr>
          <w:p>
            <w:pPr>
              <w:pStyle w:val="Intestazione"/>
              <w:jc w:val="center"/>
              <w:rPr/>
            </w:pPr>
            <w:r>
              <w:rPr/>
              <w:t>Dati aggregati attività amministrativa</w:t>
            </w:r>
          </w:p>
        </w:tc>
        <w:tc>
          <w:tcPr>
            <w:tcW w:w="5670" w:type="dxa"/>
            <w:tcBorders/>
            <w:shd w:color="auto" w:fill="D9D9D9" w:themeFill="background1" w:themeFillShade="d9" w:val="clear"/>
            <w:vAlign w:val="center"/>
          </w:tcPr>
          <w:p>
            <w:pPr>
              <w:pStyle w:val="Default"/>
              <w:jc w:val="both"/>
              <w:rPr>
                <w:rFonts w:ascii="Calibri" w:hAnsi="Calibri"/>
                <w:sz w:val="13"/>
                <w:szCs w:val="13"/>
              </w:rPr>
            </w:pPr>
            <w:r>
              <w:rPr>
                <w:rFonts w:ascii="Calibri" w:hAnsi="Calibri"/>
                <w:sz w:val="13"/>
                <w:szCs w:val="13"/>
              </w:rPr>
              <w:t>Dati relativi alla attività amministrativa, in forma aggregata, per settori di attività, per competenza degli organi e degli uffici, per tipologia di procedimenti</w:t>
            </w:r>
          </w:p>
        </w:tc>
        <w:tc>
          <w:tcPr>
            <w:tcW w:w="1134" w:type="dxa"/>
            <w:tcBorders/>
            <w:shd w:color="auto" w:fill="D9D9D9" w:themeFill="background1" w:themeFillShade="d9" w:val="clear"/>
            <w:vAlign w:val="center"/>
          </w:tcPr>
          <w:p>
            <w:pPr>
              <w:pStyle w:val="Default"/>
              <w:jc w:val="center"/>
              <w:rPr>
                <w:rFonts w:ascii="Calibri" w:hAnsi="Calibri"/>
                <w:sz w:val="13"/>
                <w:szCs w:val="13"/>
              </w:rPr>
            </w:pPr>
            <w:r>
              <w:rPr>
                <w:rFonts w:ascii="Calibri" w:hAnsi="Calibri"/>
                <w:sz w:val="13"/>
                <w:szCs w:val="13"/>
              </w:rPr>
              <w:t>Dati non più soggetti a pubblicazione obbligatoria ai sensi del dlgs 97/2016</w:t>
            </w:r>
          </w:p>
        </w:tc>
        <w:tc>
          <w:tcPr>
            <w:tcW w:w="1305"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Tipologie di procedimento</w:t>
            </w:r>
          </w:p>
        </w:tc>
        <w:tc>
          <w:tcPr>
            <w:tcW w:w="1134" w:type="dxa"/>
            <w:tcBorders/>
            <w:vAlign w:val="center"/>
          </w:tcPr>
          <w:p>
            <w:pPr>
              <w:pStyle w:val="Intestazione"/>
              <w:jc w:val="center"/>
              <w:rPr/>
            </w:pPr>
            <w:r>
              <w:rPr/>
            </w:r>
          </w:p>
        </w:tc>
        <w:tc>
          <w:tcPr>
            <w:tcW w:w="2268" w:type="dxa"/>
            <w:vMerge w:val="restart"/>
            <w:tcBorders/>
            <w:vAlign w:val="center"/>
          </w:tcPr>
          <w:p>
            <w:pPr>
              <w:pStyle w:val="Intestazione"/>
              <w:jc w:val="center"/>
              <w:rPr/>
            </w:pPr>
            <w:r>
              <w:rPr/>
              <w:t>Tipologie di procedimento</w:t>
            </w:r>
          </w:p>
          <w:p>
            <w:pPr>
              <w:pStyle w:val="Intestazione"/>
              <w:jc w:val="center"/>
              <w:rPr/>
            </w:pPr>
            <w:r>
              <w:rPr/>
            </w:r>
          </w:p>
          <w:p>
            <w:pPr>
              <w:pStyle w:val="Intestazione"/>
              <w:jc w:val="center"/>
              <w:rPr/>
            </w:pPr>
            <w:r>
              <w:rPr/>
              <w:t>(da pubblicare in tabelle)</w:t>
            </w:r>
          </w:p>
        </w:tc>
        <w:tc>
          <w:tcPr>
            <w:tcW w:w="5670" w:type="dxa"/>
            <w:tcBorders/>
            <w:vAlign w:val="center"/>
          </w:tcPr>
          <w:p>
            <w:pPr>
              <w:pStyle w:val="Intestazione"/>
              <w:jc w:val="both"/>
              <w:rPr/>
            </w:pPr>
            <w:r>
              <w:rPr/>
              <w:t>Per ciascuna tipologia di procedimento:</w:t>
            </w:r>
          </w:p>
        </w:tc>
        <w:tc>
          <w:tcPr>
            <w:tcW w:w="1134" w:type="dxa"/>
            <w:vMerge w:val="restart"/>
            <w:tcBorders/>
            <w:vAlign w:val="center"/>
          </w:tcPr>
          <w:p>
            <w:pPr>
              <w:pStyle w:val="Intestazione"/>
              <w:jc w:val="center"/>
              <w:rPr/>
            </w:pPr>
            <w:r>
              <w:rPr/>
              <w:t>Tempestivo</w:t>
            </w:r>
          </w:p>
          <w:p>
            <w:pPr>
              <w:pStyle w:val="Intestazione"/>
              <w:jc w:val="center"/>
              <w:rPr/>
            </w:pPr>
            <w:r>
              <w:rPr/>
              <w:t>art. 8 d.lgs.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35, c. 1, lett. a)</w:t>
            </w:r>
          </w:p>
        </w:tc>
        <w:tc>
          <w:tcPr>
            <w:tcW w:w="2268" w:type="dxa"/>
            <w:vMerge w:val="continue"/>
            <w:tcBorders/>
            <w:vAlign w:val="center"/>
          </w:tcPr>
          <w:p>
            <w:pPr>
              <w:pStyle w:val="Intestazione"/>
              <w:jc w:val="center"/>
              <w:rPr/>
            </w:pPr>
            <w:r>
              <w:rPr/>
            </w:r>
          </w:p>
        </w:tc>
        <w:tc>
          <w:tcPr>
            <w:tcW w:w="5670" w:type="dxa"/>
            <w:tcBorders/>
            <w:vAlign w:val="center"/>
          </w:tcPr>
          <w:p>
            <w:pPr>
              <w:pStyle w:val="Default"/>
              <w:jc w:val="both"/>
              <w:rPr>
                <w:rFonts w:ascii="Calibri" w:hAnsi="Calibri"/>
                <w:sz w:val="13"/>
                <w:szCs w:val="13"/>
              </w:rPr>
            </w:pPr>
            <w:r>
              <w:rPr>
                <w:rFonts w:ascii="Calibri" w:hAnsi="Calibri"/>
                <w:sz w:val="13"/>
                <w:szCs w:val="13"/>
              </w:rPr>
              <w:t>1) breve descrizione del procedimento con indicazione di tutti i riferimenti normativi utili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b)</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2) unità organizzative responsabili dell'istruttoria</w:t>
            </w:r>
          </w:p>
        </w:tc>
        <w:tc>
          <w:tcPr>
            <w:tcW w:w="1134" w:type="dxa"/>
            <w:vMerge w:val="continue"/>
            <w:tcBorders/>
            <w:vAlign w:val="center"/>
          </w:tcPr>
          <w:p>
            <w:pPr>
              <w:pStyle w:val="Intestazione"/>
              <w:jc w:val="center"/>
              <w:rPr>
                <w:lang w:val="en-US"/>
              </w:rPr>
            </w:pPr>
            <w:r>
              <w:rPr>
                <w:lang w:val="en-US"/>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c)</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 xml:space="preserve">3) l'ufficio del procedimento, unitamente ai recapiti telefonici e alla casella di posta elettronica istituzionale </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d)</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4) ove diverso, l'ufficio competente all'adozione del provvedimento finale, con l'indicazione del nome del responsabile dell'ufficio unitamente ai rispettivi recapiti telefonici e alla casella di posta elettronica istituzionale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e)</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5) modalità con le quali gli interessati possono ottenere le informazioni relative ai procedimenti in corso che li riguardino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f)</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6) termine fissato in sede di disciplina normativa del procedimento per la conclusione con l'adozione di un provvedimento espresso e ogni altro termine procedimentale rilevante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g)</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7) procedimenti per i quali il provvedimento dell'amministrazione può essere sostituito da una dichiarazione dell'interessato ovvero il procedimento può concludersi con il silenzio-assenso dell'amministrazione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h)</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8) strumenti di tutela amministrativa e giurisdizionale, riconosciuti dalla legge in favore dell'interessato, nel corso del procedimento nei confronti del provvedimento finale ovvero nei casi di adozione del provvedimento oltre il termine predeterminato per la sua conclusione e i modi per attivarli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i)</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 xml:space="preserve">9) </w:t>
            </w:r>
            <w:r>
              <w:rPr>
                <w:rFonts w:ascii="Calibri" w:hAnsi="Calibri"/>
                <w:i/>
                <w:iCs/>
                <w:sz w:val="13"/>
                <w:szCs w:val="13"/>
              </w:rPr>
              <w:t xml:space="preserve">link </w:t>
            </w:r>
            <w:r>
              <w:rPr>
                <w:rFonts w:ascii="Calibri" w:hAnsi="Calibri"/>
                <w:sz w:val="13"/>
                <w:szCs w:val="13"/>
              </w:rPr>
              <w:t>di accesso al servizio on line, ove sia già disponibile in rete, o tempi previsti per la sua attivazione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both"/>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l)</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10) modalità per l'effettuazione dei pagamenti eventualmente necessari, con i codici IBAN identificativi del conto di pagamento, ovvero di imputazione del versamento in Tesoreria, tramite i quali i soggetti versanti possono effettuare i pagamenti mediante bonifico bancario o postale, ovvero gli identificativi del conto corrente postale sul quale i soggetti versanti possono effettuare i pagamenti mediante bollettino postale, nonchè i codici identificativi del pagamento da indicare obbligatoriamente per il versamento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US"/>
              </w:rPr>
            </w:pPr>
            <w:r>
              <w:rPr>
                <w:lang w:val="en-US"/>
              </w:rPr>
              <w:t>art. 35, c. 1, lett. m)</w:t>
            </w:r>
          </w:p>
        </w:tc>
        <w:tc>
          <w:tcPr>
            <w:tcW w:w="2268" w:type="dxa"/>
            <w:vMerge w:val="continue"/>
            <w:tcBorders/>
            <w:vAlign w:val="center"/>
          </w:tcPr>
          <w:p>
            <w:pPr>
              <w:pStyle w:val="Intestazione"/>
              <w:jc w:val="center"/>
              <w:rPr>
                <w:lang w:val="en-US"/>
              </w:rPr>
            </w:pPr>
            <w:r>
              <w:rPr>
                <w:lang w:val="en-US"/>
              </w:rPr>
            </w:r>
          </w:p>
        </w:tc>
        <w:tc>
          <w:tcPr>
            <w:tcW w:w="5670" w:type="dxa"/>
            <w:tcBorders/>
            <w:vAlign w:val="center"/>
          </w:tcPr>
          <w:p>
            <w:pPr>
              <w:pStyle w:val="Default"/>
              <w:jc w:val="both"/>
              <w:rPr>
                <w:rFonts w:ascii="Calibri" w:hAnsi="Calibri"/>
                <w:sz w:val="13"/>
                <w:szCs w:val="13"/>
              </w:rPr>
            </w:pPr>
            <w:r>
              <w:rPr>
                <w:rFonts w:ascii="Calibri" w:hAnsi="Calibri"/>
                <w:sz w:val="13"/>
                <w:szCs w:val="13"/>
              </w:rPr>
              <w:t>11) nome del soggetto a cui è attribuito, in caso di inerzia, il potere sostitutivo, nonchè modalità per attivare tale potere, con indicazione dei recapiti telefonici e delle caselle di posta elettronica istituzionale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restart"/>
            <w:tcBorders/>
            <w:vAlign w:val="center"/>
          </w:tcPr>
          <w:p>
            <w:pPr>
              <w:pStyle w:val="Intestazione"/>
              <w:jc w:val="center"/>
              <w:rPr/>
            </w:pPr>
            <w:r>
              <w:rPr/>
              <w:t>art. 35, c. 1, lett. d)</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b/>
                <w:b/>
              </w:rPr>
            </w:pPr>
            <w:r>
              <w:rPr>
                <w:b/>
              </w:rPr>
              <w:t>Per i procedimenti a istanza di parte :</w:t>
            </w:r>
          </w:p>
        </w:tc>
        <w:tc>
          <w:tcPr>
            <w:tcW w:w="1134" w:type="dxa"/>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jc w:val="both"/>
              <w:rPr>
                <w:rFonts w:ascii="Calibri" w:hAnsi="Calibri"/>
                <w:sz w:val="13"/>
                <w:szCs w:val="13"/>
              </w:rPr>
            </w:pPr>
            <w:r>
              <w:rPr>
                <w:rFonts w:ascii="Calibri" w:hAnsi="Calibri"/>
                <w:sz w:val="13"/>
                <w:szCs w:val="13"/>
              </w:rPr>
              <w:t>1) atti e documenti da allegare all'istanza e modulistica necessaria, compresi i fac-simile per le autocertificazioni</w:t>
            </w:r>
          </w:p>
        </w:tc>
        <w:tc>
          <w:tcPr>
            <w:tcW w:w="1134" w:type="dxa"/>
            <w:vMerge w:val="restart"/>
            <w:tcBorders/>
            <w:vAlign w:val="center"/>
          </w:tcPr>
          <w:p>
            <w:pPr>
              <w:pStyle w:val="Intestazione"/>
              <w:jc w:val="center"/>
              <w:rPr/>
            </w:pPr>
            <w:r>
              <w:rPr/>
              <w:t>Tempestivo</w:t>
            </w:r>
          </w:p>
          <w:p>
            <w:pPr>
              <w:pStyle w:val="Intestazione"/>
              <w:jc w:val="center"/>
              <w:rPr/>
            </w:pPr>
            <w:r>
              <w:rPr/>
              <w:t>art. 8 d.lgs.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Default"/>
              <w:jc w:val="both"/>
              <w:rPr>
                <w:rFonts w:ascii="Calibri" w:hAnsi="Calibri"/>
                <w:sz w:val="13"/>
                <w:szCs w:val="13"/>
              </w:rPr>
            </w:pPr>
            <w:r>
              <w:rPr>
                <w:rFonts w:ascii="Calibri" w:hAnsi="Calibri"/>
                <w:sz w:val="13"/>
                <w:szCs w:val="13"/>
              </w:rPr>
              <w:t>2) uffici ai quali rivolgersi per informazioni, orari e modalità di accesso con indicazione degli indirizzi, recapiti telefonici e caselle di posta elettronica istituzionale a cui presentare le istanze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shd w:color="auto" w:fill="auto" w:val="clear"/>
            <w:vAlign w:val="center"/>
          </w:tcPr>
          <w:p>
            <w:pPr>
              <w:pStyle w:val="Intestazione"/>
              <w:jc w:val="center"/>
              <w:rPr>
                <w:b/>
                <w:b/>
              </w:rPr>
            </w:pPr>
            <w:r>
              <w:rPr>
                <w:b/>
              </w:rPr>
              <w:t>Monitoraggio</w:t>
            </w:r>
          </w:p>
          <w:p>
            <w:pPr>
              <w:pStyle w:val="Intestazione"/>
              <w:jc w:val="center"/>
              <w:rPr>
                <w:b/>
                <w:b/>
              </w:rPr>
            </w:pPr>
            <w:r>
              <w:rPr>
                <w:b/>
              </w:rPr>
              <w:t>tempi procedimentali</w:t>
            </w:r>
          </w:p>
        </w:tc>
        <w:tc>
          <w:tcPr>
            <w:tcW w:w="1134" w:type="dxa"/>
            <w:tcBorders/>
            <w:vAlign w:val="center"/>
          </w:tcPr>
          <w:p>
            <w:pPr>
              <w:pStyle w:val="Default"/>
              <w:jc w:val="center"/>
              <w:rPr>
                <w:rFonts w:ascii="Calibri" w:hAnsi="Calibri"/>
                <w:sz w:val="13"/>
                <w:szCs w:val="13"/>
                <w:lang w:val="en-US"/>
              </w:rPr>
            </w:pPr>
            <w:r>
              <w:rPr>
                <w:rFonts w:ascii="Calibri" w:hAnsi="Calibri"/>
                <w:sz w:val="13"/>
                <w:szCs w:val="13"/>
                <w:lang w:val="en-US"/>
              </w:rPr>
              <w:t>Art. 2, c. 4-bis,</w:t>
            </w:r>
          </w:p>
          <w:p>
            <w:pPr>
              <w:pStyle w:val="Default"/>
              <w:jc w:val="center"/>
              <w:rPr>
                <w:rFonts w:ascii="Calibri" w:hAnsi="Calibri"/>
                <w:sz w:val="13"/>
                <w:szCs w:val="13"/>
                <w:lang w:val="en-US"/>
              </w:rPr>
            </w:pPr>
            <w:r>
              <w:rPr>
                <w:rFonts w:ascii="Calibri" w:hAnsi="Calibri"/>
                <w:sz w:val="13"/>
                <w:szCs w:val="13"/>
              </w:rPr>
              <w:t>legge</w:t>
            </w:r>
            <w:r>
              <w:rPr>
                <w:rFonts w:ascii="Calibri" w:hAnsi="Calibri"/>
                <w:sz w:val="13"/>
                <w:szCs w:val="13"/>
                <w:lang w:val="en-US"/>
              </w:rPr>
              <w:t xml:space="preserve"> 241/1990</w:t>
            </w:r>
          </w:p>
          <w:p>
            <w:pPr>
              <w:pStyle w:val="Default"/>
              <w:jc w:val="center"/>
              <w:rPr>
                <w:rFonts w:ascii="Calibri" w:hAnsi="Calibri"/>
                <w:sz w:val="13"/>
                <w:szCs w:val="13"/>
                <w:lang w:val="en-US"/>
              </w:rPr>
            </w:pPr>
            <w:r>
              <w:rPr>
                <w:rFonts w:ascii="Calibri" w:hAnsi="Calibri"/>
                <w:sz w:val="13"/>
                <w:szCs w:val="13"/>
              </w:rPr>
              <w:t>inserito</w:t>
            </w:r>
            <w:r>
              <w:rPr>
                <w:rFonts w:ascii="Calibri" w:hAnsi="Calibri"/>
                <w:sz w:val="13"/>
                <w:szCs w:val="13"/>
                <w:lang w:val="en-US"/>
              </w:rPr>
              <w:t xml:space="preserve"> </w:t>
            </w:r>
            <w:r>
              <w:rPr>
                <w:rFonts w:ascii="Calibri" w:hAnsi="Calibri"/>
                <w:sz w:val="13"/>
                <w:szCs w:val="13"/>
              </w:rPr>
              <w:t>dall’art</w:t>
            </w:r>
            <w:r>
              <w:rPr>
                <w:rFonts w:ascii="Calibri" w:hAnsi="Calibri"/>
                <w:sz w:val="13"/>
                <w:szCs w:val="13"/>
                <w:lang w:val="en-US"/>
              </w:rPr>
              <w:t>. 12</w:t>
            </w:r>
          </w:p>
          <w:p>
            <w:pPr>
              <w:pStyle w:val="Default"/>
              <w:jc w:val="center"/>
              <w:rPr>
                <w:rFonts w:ascii="Calibri" w:hAnsi="Calibri"/>
                <w:sz w:val="13"/>
                <w:szCs w:val="13"/>
                <w:lang w:val="en-US"/>
              </w:rPr>
            </w:pPr>
            <w:r>
              <w:rPr>
                <w:rFonts w:ascii="Calibri" w:hAnsi="Calibri"/>
                <w:sz w:val="13"/>
                <w:szCs w:val="13"/>
                <w:lang w:val="en-US"/>
              </w:rPr>
              <w:t xml:space="preserve">del </w:t>
            </w:r>
            <w:r>
              <w:rPr>
                <w:rFonts w:ascii="Calibri" w:hAnsi="Calibri"/>
                <w:sz w:val="13"/>
                <w:szCs w:val="13"/>
              </w:rPr>
              <w:t>d.l</w:t>
            </w:r>
            <w:r>
              <w:rPr>
                <w:rFonts w:ascii="Calibri" w:hAnsi="Calibri"/>
                <w:sz w:val="13"/>
                <w:szCs w:val="13"/>
                <w:lang w:val="en-US"/>
              </w:rPr>
              <w:t>. 76/2020 -</w:t>
            </w:r>
          </w:p>
          <w:p>
            <w:pPr>
              <w:pStyle w:val="Default"/>
              <w:jc w:val="center"/>
              <w:rPr>
                <w:rFonts w:ascii="Calibri" w:hAnsi="Calibri"/>
                <w:sz w:val="13"/>
                <w:szCs w:val="13"/>
                <w:lang w:val="en-US"/>
              </w:rPr>
            </w:pPr>
            <w:r>
              <w:rPr>
                <w:rFonts w:ascii="Calibri" w:hAnsi="Calibri"/>
                <w:sz w:val="13"/>
                <w:szCs w:val="13"/>
              </w:rPr>
              <w:t>legge</w:t>
            </w:r>
            <w:r>
              <w:rPr>
                <w:rFonts w:ascii="Calibri" w:hAnsi="Calibri"/>
                <w:sz w:val="13"/>
                <w:szCs w:val="13"/>
                <w:lang w:val="en-US"/>
              </w:rPr>
              <w:t xml:space="preserve"> 120/2020</w:t>
            </w:r>
          </w:p>
        </w:tc>
        <w:tc>
          <w:tcPr>
            <w:tcW w:w="2268" w:type="dxa"/>
            <w:tcBorders/>
            <w:vAlign w:val="center"/>
          </w:tcPr>
          <w:p>
            <w:pPr>
              <w:pStyle w:val="Intestazione"/>
              <w:jc w:val="center"/>
              <w:rPr>
                <w:lang w:val="en-US"/>
              </w:rPr>
            </w:pPr>
            <w:r>
              <w:rPr>
                <w:lang w:val="en-US"/>
              </w:rPr>
              <w:t xml:space="preserve">Tempi </w:t>
            </w:r>
            <w:r>
              <w:rPr/>
              <w:t>effettivi</w:t>
            </w:r>
            <w:r>
              <w:rPr>
                <w:lang w:val="en-US"/>
              </w:rPr>
              <w:t xml:space="preserve"> </w:t>
            </w:r>
            <w:r>
              <w:rPr/>
              <w:t>di</w:t>
            </w:r>
            <w:r>
              <w:rPr>
                <w:lang w:val="en-US"/>
              </w:rPr>
              <w:t xml:space="preserve"> </w:t>
            </w:r>
            <w:r>
              <w:rPr/>
              <w:t>conclusione</w:t>
            </w:r>
          </w:p>
          <w:p>
            <w:pPr>
              <w:pStyle w:val="Intestazione"/>
              <w:jc w:val="center"/>
              <w:rPr>
                <w:lang w:val="en-US"/>
              </w:rPr>
            </w:pPr>
            <w:r>
              <w:rPr>
                <w:lang w:val="en-US"/>
              </w:rPr>
              <w:t xml:space="preserve"> </w:t>
            </w:r>
            <w:r>
              <w:rPr/>
              <w:t>dei</w:t>
            </w:r>
            <w:r>
              <w:rPr>
                <w:lang w:val="en-US"/>
              </w:rPr>
              <w:t xml:space="preserve"> </w:t>
            </w:r>
            <w:r>
              <w:rPr/>
              <w:t>procedimenti</w:t>
            </w:r>
            <w:r>
              <w:rPr>
                <w:lang w:val="en-US"/>
              </w:rPr>
              <w:t xml:space="preserve"> </w:t>
            </w:r>
            <w:r>
              <w:rPr/>
              <w:t>amministrativi</w:t>
            </w:r>
          </w:p>
        </w:tc>
        <w:tc>
          <w:tcPr>
            <w:tcW w:w="5670" w:type="dxa"/>
            <w:tcBorders/>
            <w:shd w:color="auto" w:fill="auto" w:val="clear"/>
            <w:vAlign w:val="center"/>
          </w:tcPr>
          <w:p>
            <w:pPr>
              <w:pStyle w:val="Default"/>
              <w:jc w:val="both"/>
              <w:rPr>
                <w:rFonts w:ascii="Calibri" w:hAnsi="Calibri"/>
                <w:sz w:val="13"/>
                <w:szCs w:val="13"/>
              </w:rPr>
            </w:pPr>
            <w:r>
              <w:rPr>
                <w:rFonts w:ascii="Calibri" w:hAnsi="Calibri"/>
                <w:sz w:val="13"/>
                <w:szCs w:val="13"/>
              </w:rPr>
              <w:t>Pubblicazione dei tempi effettivi di conclusione dei procedimenti amministrativi di maggiore impatto  per i cittadini e le imprese, comparandoli con i termini previsti dalla normativa vigente, secondo le modalità e i criteri di misurazione nonché le modalità di pubblicazione stabiliti con decreto del Presidente del Consiglio dei Ministri, su proposta del Ministro per la pubblica amministrazione, previa intesa in Conferenza Unificata di cui all’art. 8 del d.lgs. n. 281/1997.</w:t>
            </w:r>
          </w:p>
        </w:tc>
        <w:tc>
          <w:tcPr>
            <w:tcW w:w="1134" w:type="dxa"/>
            <w:tcBorders/>
            <w:shd w:color="auto" w:fill="auto" w:val="clear"/>
            <w:vAlign w:val="center"/>
          </w:tcPr>
          <w:p>
            <w:pPr>
              <w:pStyle w:val="Default"/>
              <w:jc w:val="center"/>
              <w:rPr>
                <w:rFonts w:ascii="Calibri" w:hAnsi="Calibri"/>
                <w:sz w:val="13"/>
                <w:szCs w:val="13"/>
              </w:rPr>
            </w:pPr>
            <w:r>
              <w:rPr>
                <w:rFonts w:ascii="Calibri" w:hAnsi="Calibri"/>
                <w:sz w:val="13"/>
                <w:szCs w:val="13"/>
              </w:rPr>
              <w:t>Tempestivo</w:t>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Default"/>
              <w:jc w:val="center"/>
              <w:rPr>
                <w:rFonts w:ascii="Calibri" w:hAnsi="Calibri"/>
                <w:b/>
                <w:b/>
                <w:sz w:val="13"/>
                <w:szCs w:val="13"/>
              </w:rPr>
            </w:pPr>
            <w:r>
              <w:rPr>
                <w:rFonts w:ascii="Calibri" w:hAnsi="Calibri"/>
                <w:b/>
                <w:sz w:val="13"/>
                <w:szCs w:val="13"/>
              </w:rPr>
              <w:t>Dichiarazioni sostitutive e acquisizione d'ufficio dei dati</w:t>
            </w:r>
          </w:p>
        </w:tc>
        <w:tc>
          <w:tcPr>
            <w:tcW w:w="1134" w:type="dxa"/>
            <w:tcBorders/>
            <w:vAlign w:val="center"/>
          </w:tcPr>
          <w:p>
            <w:pPr>
              <w:pStyle w:val="Intestazione"/>
              <w:jc w:val="center"/>
              <w:rPr/>
            </w:pPr>
            <w:r>
              <w:rPr/>
              <w:t>art. 35, c. 3</w:t>
            </w:r>
          </w:p>
        </w:tc>
        <w:tc>
          <w:tcPr>
            <w:tcW w:w="2268" w:type="dxa"/>
            <w:tcBorders/>
            <w:vAlign w:val="center"/>
          </w:tcPr>
          <w:p>
            <w:pPr>
              <w:pStyle w:val="Default"/>
              <w:jc w:val="center"/>
              <w:rPr>
                <w:rFonts w:ascii="Calibri" w:hAnsi="Calibri"/>
                <w:sz w:val="13"/>
                <w:szCs w:val="13"/>
              </w:rPr>
            </w:pPr>
            <w:r>
              <w:rPr>
                <w:rFonts w:ascii="Calibri" w:hAnsi="Calibri"/>
                <w:sz w:val="13"/>
                <w:szCs w:val="13"/>
              </w:rPr>
              <w:t>Recapiti dell'ufficio responsabile</w:t>
            </w:r>
          </w:p>
        </w:tc>
        <w:tc>
          <w:tcPr>
            <w:tcW w:w="5670" w:type="dxa"/>
            <w:tcBorders/>
            <w:vAlign w:val="center"/>
          </w:tcPr>
          <w:p>
            <w:pPr>
              <w:pStyle w:val="Default"/>
              <w:jc w:val="both"/>
              <w:rPr>
                <w:rFonts w:ascii="Calibri" w:hAnsi="Calibri"/>
                <w:sz w:val="13"/>
                <w:szCs w:val="13"/>
              </w:rPr>
            </w:pPr>
            <w:r>
              <w:rPr>
                <w:rFonts w:ascii="Calibri" w:hAnsi="Calibri"/>
                <w:sz w:val="13"/>
                <w:szCs w:val="13"/>
              </w:rPr>
              <w:t>Recapiti telefonici e casella di posta elettronica istituzionale dell'ufficio responsabile per le attività volte a gestire, garantire e verificare la trasmissione dei dati o l'accesso diretto degli stessi da parte delle amministrazioni procedenti all'acquisizione d'ufficio dei dati e allo svolgimento dei controlli sulle dichiarazioni sostitutive</w:t>
            </w:r>
          </w:p>
        </w:tc>
        <w:tc>
          <w:tcPr>
            <w:tcW w:w="1134" w:type="dxa"/>
            <w:tcBorders/>
            <w:vAlign w:val="center"/>
          </w:tcPr>
          <w:p>
            <w:pPr>
              <w:pStyle w:val="Intestazione"/>
              <w:jc w:val="center"/>
              <w:rPr/>
            </w:pPr>
            <w:r>
              <w:rPr/>
              <w:t>Tempestivo</w:t>
            </w:r>
          </w:p>
          <w:p>
            <w:pPr>
              <w:pStyle w:val="Intestazione"/>
              <w:jc w:val="center"/>
              <w:rPr/>
            </w:pPr>
            <w:r>
              <w:rPr/>
              <w:t>art. 8 d.lgs.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Provvedimenti</w:t>
            </w:r>
          </w:p>
        </w:tc>
        <w:tc>
          <w:tcPr>
            <w:tcW w:w="1701" w:type="dxa"/>
            <w:tcBorders/>
            <w:vAlign w:val="center"/>
          </w:tcPr>
          <w:p>
            <w:pPr>
              <w:pStyle w:val="Intestazione"/>
              <w:jc w:val="center"/>
              <w:rPr>
                <w:b/>
                <w:b/>
              </w:rPr>
            </w:pPr>
            <w:r>
              <w:rPr>
                <w:b/>
              </w:rPr>
              <w:t>Provvedimenti organi</w:t>
            </w:r>
          </w:p>
          <w:p>
            <w:pPr>
              <w:pStyle w:val="Intestazione"/>
              <w:jc w:val="center"/>
              <w:rPr>
                <w:b/>
                <w:b/>
              </w:rPr>
            </w:pPr>
            <w:r>
              <w:rPr>
                <w:b/>
              </w:rPr>
              <w:t>di indirizzo politico</w:t>
            </w:r>
          </w:p>
        </w:tc>
        <w:tc>
          <w:tcPr>
            <w:tcW w:w="1134" w:type="dxa"/>
            <w:tcBorders/>
            <w:vAlign w:val="center"/>
          </w:tcPr>
          <w:p>
            <w:pPr>
              <w:pStyle w:val="Intestazione"/>
              <w:jc w:val="center"/>
              <w:rPr/>
            </w:pPr>
            <w:r>
              <w:rPr/>
              <w:t>art. 23, c. 1 ;</w:t>
            </w:r>
          </w:p>
          <w:p>
            <w:pPr>
              <w:pStyle w:val="Intestazione"/>
              <w:jc w:val="center"/>
              <w:rPr/>
            </w:pPr>
            <w:r>
              <w:rPr/>
              <w:t>art. 1, c. 16</w:t>
            </w:r>
          </w:p>
          <w:p>
            <w:pPr>
              <w:pStyle w:val="Intestazione"/>
              <w:jc w:val="center"/>
              <w:rPr/>
            </w:pPr>
            <w:r>
              <w:rPr/>
              <w:t>L. 190/2012</w:t>
            </w:r>
          </w:p>
        </w:tc>
        <w:tc>
          <w:tcPr>
            <w:tcW w:w="2268" w:type="dxa"/>
            <w:tcBorders/>
            <w:vAlign w:val="center"/>
          </w:tcPr>
          <w:p>
            <w:pPr>
              <w:pStyle w:val="Intestazione"/>
              <w:jc w:val="center"/>
              <w:rPr/>
            </w:pPr>
            <w:r>
              <w:rPr/>
              <w:t>Provvedimenti organi indirizzo politico</w:t>
            </w:r>
          </w:p>
        </w:tc>
        <w:tc>
          <w:tcPr>
            <w:tcW w:w="5670" w:type="dxa"/>
            <w:tcBorders/>
            <w:vAlign w:val="center"/>
          </w:tcPr>
          <w:p>
            <w:pPr>
              <w:pStyle w:val="Intestazione"/>
              <w:jc w:val="both"/>
              <w:rPr/>
            </w:pPr>
            <w:r>
              <w:rPr/>
              <w:t>Elenco dei provvedimenti, con particolare riferimento ai provvedimenti finali dei procedimenti di: scelta del contraente per l'affidamento di lavori, forniture e servizi, anche con riferimento alla modalità di selezione prescelta (link alla sotto-sezione "bandi di gara e contratti"); accordi stipulati dall'amministrazione con soggetti privati o con altre amministrazioni pubbliche.</w:t>
            </w:r>
          </w:p>
        </w:tc>
        <w:tc>
          <w:tcPr>
            <w:tcW w:w="1134" w:type="dxa"/>
            <w:tcBorders/>
            <w:vAlign w:val="center"/>
          </w:tcPr>
          <w:p>
            <w:pPr>
              <w:pStyle w:val="Intestazione"/>
              <w:jc w:val="center"/>
              <w:rPr>
                <w:lang w:val="en-GB"/>
              </w:rPr>
            </w:pPr>
            <w:r>
              <w:rPr>
                <w:lang w:val="en-GB"/>
              </w:rPr>
              <w:t>Semestrale</w:t>
            </w:r>
          </w:p>
          <w:p>
            <w:pPr>
              <w:pStyle w:val="Intestazione"/>
              <w:jc w:val="center"/>
              <w:rPr>
                <w:lang w:val="en-GB"/>
              </w:rPr>
            </w:pPr>
            <w:r>
              <w:rPr>
                <w:lang w:val="en-GB"/>
              </w:rPr>
              <w:t>art. 23, c. 1</w:t>
            </w:r>
          </w:p>
          <w:p>
            <w:pPr>
              <w:pStyle w:val="Intestazione"/>
              <w:jc w:val="center"/>
              <w:rPr>
                <w:lang w:val="en-GB"/>
              </w:rPr>
            </w:pPr>
            <w:r>
              <w:rPr>
                <w:lang w:val="en-GB"/>
              </w:rPr>
              <w:t xml:space="preserve"> </w:t>
            </w:r>
            <w:r>
              <w:rPr>
                <w:lang w:val="en-GB"/>
              </w:rPr>
              <w:t>d.lgs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tcBorders/>
            <w:shd w:color="auto" w:fill="D9D9D9" w:themeFill="background1" w:themeFillShade="d9" w:val="clear"/>
            <w:vAlign w:val="center"/>
          </w:tcPr>
          <w:p>
            <w:pPr>
              <w:pStyle w:val="Intestazione"/>
              <w:jc w:val="center"/>
              <w:rPr>
                <w:b/>
                <w:b/>
              </w:rPr>
            </w:pPr>
            <w:r>
              <w:rPr>
                <w:b/>
              </w:rPr>
              <w:t>Provvedimenti organi</w:t>
            </w:r>
          </w:p>
          <w:p>
            <w:pPr>
              <w:pStyle w:val="Intestazione"/>
              <w:jc w:val="center"/>
              <w:rPr>
                <w:b/>
                <w:b/>
              </w:rPr>
            </w:pPr>
            <w:r>
              <w:rPr>
                <w:b/>
              </w:rPr>
              <w:t>di indirizzo politico</w:t>
            </w:r>
          </w:p>
        </w:tc>
        <w:tc>
          <w:tcPr>
            <w:tcW w:w="1134" w:type="dxa"/>
            <w:tcBorders/>
            <w:shd w:color="auto" w:fill="D9D9D9" w:themeFill="background1" w:themeFillShade="d9" w:val="clear"/>
            <w:vAlign w:val="center"/>
          </w:tcPr>
          <w:p>
            <w:pPr>
              <w:pStyle w:val="Intestazione"/>
              <w:jc w:val="center"/>
              <w:rPr/>
            </w:pPr>
            <w:r>
              <w:rPr/>
              <w:t>art. 23, c. 1 ;</w:t>
            </w:r>
          </w:p>
          <w:p>
            <w:pPr>
              <w:pStyle w:val="Intestazione"/>
              <w:jc w:val="center"/>
              <w:rPr/>
            </w:pPr>
            <w:r>
              <w:rPr/>
              <w:t>art. 1, c. 16</w:t>
            </w:r>
          </w:p>
          <w:p>
            <w:pPr>
              <w:pStyle w:val="Intestazione"/>
              <w:jc w:val="center"/>
              <w:rPr/>
            </w:pPr>
            <w:r>
              <w:rPr/>
              <w:t>L. 190/2012</w:t>
            </w:r>
          </w:p>
        </w:tc>
        <w:tc>
          <w:tcPr>
            <w:tcW w:w="2268" w:type="dxa"/>
            <w:tcBorders/>
            <w:shd w:color="auto" w:fill="D9D9D9" w:themeFill="background1" w:themeFillShade="d9" w:val="clear"/>
            <w:vAlign w:val="center"/>
          </w:tcPr>
          <w:p>
            <w:pPr>
              <w:pStyle w:val="Intestazione"/>
              <w:jc w:val="center"/>
              <w:rPr/>
            </w:pPr>
            <w:r>
              <w:rPr/>
              <w:t>Provvedimenti organi indirizzo politico</w:t>
            </w:r>
          </w:p>
        </w:tc>
        <w:tc>
          <w:tcPr>
            <w:tcW w:w="5670" w:type="dxa"/>
            <w:tcBorders/>
            <w:shd w:color="auto" w:fill="D9D9D9" w:themeFill="background1" w:themeFillShade="d9" w:val="clear"/>
            <w:vAlign w:val="center"/>
          </w:tcPr>
          <w:p>
            <w:pPr>
              <w:pStyle w:val="Intestazione"/>
              <w:jc w:val="both"/>
              <w:rPr/>
            </w:pPr>
            <w:r>
              <w:rPr/>
              <w:t>Elenco dei provvedimenti, con particolare riferimento ai provvedimenti finali dei procedimenti di: autorizzazione o concessione; concorsi e prove selettive per l'assunzione del personale e progressioni di carriera</w:t>
            </w:r>
          </w:p>
        </w:tc>
        <w:tc>
          <w:tcPr>
            <w:tcW w:w="1134" w:type="dxa"/>
            <w:tcBorders/>
            <w:shd w:color="auto" w:fill="D9D9D9" w:themeFill="background1" w:themeFillShade="d9" w:val="clear"/>
            <w:vAlign w:val="center"/>
          </w:tcPr>
          <w:p>
            <w:pPr>
              <w:pStyle w:val="Intestazione"/>
              <w:jc w:val="center"/>
              <w:rPr/>
            </w:pPr>
            <w:r>
              <w:rPr/>
              <w:t>Dati non più soggetti a pubblicazione obbligatoria ai sensi del d.lgs. 97/2016</w:t>
            </w:r>
          </w:p>
        </w:tc>
        <w:tc>
          <w:tcPr>
            <w:tcW w:w="1305"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Intestazione"/>
              <w:jc w:val="center"/>
              <w:rPr>
                <w:b/>
                <w:b/>
              </w:rPr>
            </w:pPr>
            <w:r>
              <w:rPr>
                <w:b/>
              </w:rPr>
              <w:t>Provvedimenti</w:t>
            </w:r>
          </w:p>
          <w:p>
            <w:pPr>
              <w:pStyle w:val="Intestazione"/>
              <w:jc w:val="center"/>
              <w:rPr>
                <w:b/>
                <w:b/>
              </w:rPr>
            </w:pPr>
            <w:r>
              <w:rPr>
                <w:b/>
              </w:rPr>
              <w:t>dirigenti amministrativi</w:t>
            </w:r>
          </w:p>
        </w:tc>
        <w:tc>
          <w:tcPr>
            <w:tcW w:w="1134" w:type="dxa"/>
            <w:tcBorders/>
            <w:vAlign w:val="center"/>
          </w:tcPr>
          <w:p>
            <w:pPr>
              <w:pStyle w:val="Intestazione"/>
              <w:jc w:val="center"/>
              <w:rPr/>
            </w:pPr>
            <w:r>
              <w:rPr/>
              <w:t>art. 23, c. 1 ;</w:t>
            </w:r>
          </w:p>
          <w:p>
            <w:pPr>
              <w:pStyle w:val="Intestazione"/>
              <w:jc w:val="center"/>
              <w:rPr/>
            </w:pPr>
            <w:r>
              <w:rPr/>
              <w:t>art. 1, c. 16</w:t>
            </w:r>
          </w:p>
          <w:p>
            <w:pPr>
              <w:pStyle w:val="Intestazione"/>
              <w:jc w:val="center"/>
              <w:rPr/>
            </w:pPr>
            <w:r>
              <w:rPr/>
              <w:t>L. 190/2012</w:t>
            </w:r>
          </w:p>
        </w:tc>
        <w:tc>
          <w:tcPr>
            <w:tcW w:w="2268" w:type="dxa"/>
            <w:tcBorders/>
            <w:vAlign w:val="center"/>
          </w:tcPr>
          <w:p>
            <w:pPr>
              <w:pStyle w:val="Intestazione"/>
              <w:jc w:val="center"/>
              <w:rPr/>
            </w:pPr>
            <w:r>
              <w:rPr/>
              <w:t>Provvedimenti dirigenti amministrativi</w:t>
            </w:r>
          </w:p>
        </w:tc>
        <w:tc>
          <w:tcPr>
            <w:tcW w:w="5670" w:type="dxa"/>
            <w:tcBorders/>
            <w:vAlign w:val="center"/>
          </w:tcPr>
          <w:p>
            <w:pPr>
              <w:pStyle w:val="Intestazione"/>
              <w:jc w:val="both"/>
              <w:rPr/>
            </w:pPr>
            <w:r>
              <w:rPr/>
              <w:t xml:space="preserve">Elenco dei provvedimenti, con particolare riferimento ai provvedimenti finali dei procedimenti di: scelta del contraente per l'affidamento di lavori, forniture e servizi, anche con riferimento alla modalità di selezione prescelta (link alla sotto-sezione "bandi di gara e contratti"); accordi stipulati dall'amministrazione con soggetti privati o con altre amministrazioni pubbliche. </w:t>
            </w:r>
          </w:p>
        </w:tc>
        <w:tc>
          <w:tcPr>
            <w:tcW w:w="1134" w:type="dxa"/>
            <w:tcBorders/>
            <w:vAlign w:val="center"/>
          </w:tcPr>
          <w:p>
            <w:pPr>
              <w:pStyle w:val="Intestazione"/>
              <w:jc w:val="center"/>
              <w:rPr>
                <w:lang w:val="en-GB"/>
              </w:rPr>
            </w:pPr>
            <w:r>
              <w:rPr>
                <w:lang w:val="en-GB"/>
              </w:rPr>
              <w:t>Semestrale</w:t>
            </w:r>
          </w:p>
          <w:p>
            <w:pPr>
              <w:pStyle w:val="Intestazione"/>
              <w:jc w:val="center"/>
              <w:rPr>
                <w:lang w:val="en-GB"/>
              </w:rPr>
            </w:pPr>
            <w:r>
              <w:rPr>
                <w:lang w:val="en-GB"/>
              </w:rPr>
              <w:t>art. 23, c. 1,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tcBorders/>
            <w:shd w:color="auto" w:fill="D9D9D9" w:themeFill="background1" w:themeFillShade="d9" w:val="clear"/>
            <w:vAlign w:val="center"/>
          </w:tcPr>
          <w:p>
            <w:pPr>
              <w:pStyle w:val="Intestazione"/>
              <w:jc w:val="center"/>
              <w:rPr>
                <w:b/>
                <w:b/>
              </w:rPr>
            </w:pPr>
            <w:r>
              <w:rPr>
                <w:b/>
              </w:rPr>
              <w:t>Provvedimenti</w:t>
            </w:r>
          </w:p>
          <w:p>
            <w:pPr>
              <w:pStyle w:val="Intestazione"/>
              <w:jc w:val="center"/>
              <w:rPr>
                <w:b/>
                <w:b/>
              </w:rPr>
            </w:pPr>
            <w:r>
              <w:rPr>
                <w:b/>
              </w:rPr>
              <w:t>dirigenti amministrativi</w:t>
            </w:r>
          </w:p>
        </w:tc>
        <w:tc>
          <w:tcPr>
            <w:tcW w:w="1134" w:type="dxa"/>
            <w:tcBorders/>
            <w:shd w:color="auto" w:fill="D9D9D9" w:themeFill="background1" w:themeFillShade="d9" w:val="clear"/>
            <w:vAlign w:val="center"/>
          </w:tcPr>
          <w:p>
            <w:pPr>
              <w:pStyle w:val="Intestazione"/>
              <w:jc w:val="center"/>
              <w:rPr/>
            </w:pPr>
            <w:r>
              <w:rPr/>
              <w:t>art. 23, c. 1 ;</w:t>
            </w:r>
          </w:p>
          <w:p>
            <w:pPr>
              <w:pStyle w:val="Intestazione"/>
              <w:jc w:val="center"/>
              <w:rPr/>
            </w:pPr>
            <w:r>
              <w:rPr/>
              <w:t>art. 1, c. 16</w:t>
            </w:r>
          </w:p>
          <w:p>
            <w:pPr>
              <w:pStyle w:val="Intestazione"/>
              <w:jc w:val="center"/>
              <w:rPr/>
            </w:pPr>
            <w:r>
              <w:rPr/>
              <w:t>L. 190/2012</w:t>
            </w:r>
          </w:p>
        </w:tc>
        <w:tc>
          <w:tcPr>
            <w:tcW w:w="2268" w:type="dxa"/>
            <w:tcBorders/>
            <w:shd w:color="auto" w:fill="D9D9D9" w:themeFill="background1" w:themeFillShade="d9" w:val="clear"/>
            <w:vAlign w:val="center"/>
          </w:tcPr>
          <w:p>
            <w:pPr>
              <w:pStyle w:val="Intestazione"/>
              <w:jc w:val="center"/>
              <w:rPr/>
            </w:pPr>
            <w:r>
              <w:rPr/>
              <w:t>Provvedimenti dirigenti amministrativi</w:t>
            </w:r>
          </w:p>
        </w:tc>
        <w:tc>
          <w:tcPr>
            <w:tcW w:w="5670" w:type="dxa"/>
            <w:tcBorders/>
            <w:shd w:color="auto" w:fill="D9D9D9" w:themeFill="background1" w:themeFillShade="d9" w:val="clear"/>
            <w:vAlign w:val="center"/>
          </w:tcPr>
          <w:p>
            <w:pPr>
              <w:pStyle w:val="Intestazione"/>
              <w:jc w:val="both"/>
              <w:rPr/>
            </w:pPr>
            <w:r>
              <w:rPr/>
              <w:t>Elenco dei provvedimenti, con particolare riferimento ai provvedimenti finali dei procedimenti di: autorizzazione o concessione; concorsi e prove selettive per l'assunzione del personale e progressioni di carriera.</w:t>
            </w:r>
          </w:p>
        </w:tc>
        <w:tc>
          <w:tcPr>
            <w:tcW w:w="1134" w:type="dxa"/>
            <w:tcBorders/>
            <w:shd w:color="auto" w:fill="D9D9D9" w:themeFill="background1" w:themeFillShade="d9" w:val="clear"/>
            <w:vAlign w:val="center"/>
          </w:tcPr>
          <w:p>
            <w:pPr>
              <w:pStyle w:val="Intestazione"/>
              <w:jc w:val="center"/>
              <w:rPr/>
            </w:pPr>
            <w:r>
              <w:rPr/>
              <w:t>Dati non più soggetti a pubblicazione obbligatoria ai sensi del d.lgs. 97/2016</w:t>
            </w:r>
          </w:p>
        </w:tc>
        <w:tc>
          <w:tcPr>
            <w:tcW w:w="1305"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shd w:color="auto" w:fill="D9D9D9" w:themeFill="background1" w:themeFillShade="d9" w:val="clear"/>
            <w:vAlign w:val="center"/>
          </w:tcPr>
          <w:p>
            <w:pPr>
              <w:pStyle w:val="Intestazione"/>
              <w:jc w:val="center"/>
              <w:rPr>
                <w:rFonts w:ascii="Berlin Sans FB Demi" w:hAnsi="Berlin Sans FB Demi"/>
                <w:b/>
                <w:b/>
              </w:rPr>
            </w:pPr>
            <w:r>
              <w:rPr>
                <w:rFonts w:ascii="Berlin Sans FB Demi" w:hAnsi="Berlin Sans FB Demi"/>
                <w:b/>
              </w:rPr>
              <w:t>Controlli sulle imprese</w:t>
            </w:r>
          </w:p>
        </w:tc>
        <w:tc>
          <w:tcPr>
            <w:tcW w:w="1701" w:type="dxa"/>
            <w:tcBorders/>
            <w:shd w:color="auto" w:fill="D9D9D9" w:themeFill="background1" w:themeFillShade="d9" w:val="clear"/>
            <w:vAlign w:val="center"/>
          </w:tcPr>
          <w:p>
            <w:pPr>
              <w:pStyle w:val="Intestazione"/>
              <w:jc w:val="center"/>
              <w:rPr>
                <w:b/>
                <w:b/>
              </w:rPr>
            </w:pPr>
            <w:r>
              <w:rPr>
                <w:b/>
              </w:rPr>
            </w:r>
          </w:p>
        </w:tc>
        <w:tc>
          <w:tcPr>
            <w:tcW w:w="1134" w:type="dxa"/>
            <w:tcBorders/>
            <w:shd w:color="auto" w:fill="D9D9D9" w:themeFill="background1" w:themeFillShade="d9" w:val="clear"/>
          </w:tcPr>
          <w:p>
            <w:pPr>
              <w:pStyle w:val="Normal"/>
              <w:jc w:val="center"/>
              <w:rPr>
                <w:lang w:val="en-GB"/>
              </w:rPr>
            </w:pPr>
            <w:r>
              <w:rPr>
                <w:lang w:val="en-GB"/>
              </w:rPr>
              <w:t>Art. 25, c. 1, lett. a), d.lgs. n. 33/2013</w:t>
            </w:r>
          </w:p>
        </w:tc>
        <w:tc>
          <w:tcPr>
            <w:tcW w:w="2268" w:type="dxa"/>
            <w:tcBorders/>
            <w:shd w:color="auto" w:fill="D9D9D9" w:themeFill="background1" w:themeFillShade="d9" w:val="clear"/>
          </w:tcPr>
          <w:p>
            <w:pPr>
              <w:pStyle w:val="Normal"/>
              <w:jc w:val="center"/>
              <w:rPr/>
            </w:pPr>
            <w:r>
              <w:rPr>
                <w:position w:val="-6"/>
              </w:rPr>
              <w:t>Tipologie di controllo</w:t>
            </w:r>
          </w:p>
          <w:p>
            <w:pPr>
              <w:pStyle w:val="Normal"/>
              <w:jc w:val="right"/>
              <w:rPr/>
            </w:pPr>
            <w:r>
              <w:rPr/>
            </w:r>
          </w:p>
        </w:tc>
        <w:tc>
          <w:tcPr>
            <w:tcW w:w="5670" w:type="dxa"/>
            <w:tcBorders/>
            <w:shd w:color="auto" w:fill="D9D9D9" w:themeFill="background1" w:themeFillShade="d9" w:val="clear"/>
          </w:tcPr>
          <w:p>
            <w:pPr>
              <w:pStyle w:val="Normal"/>
              <w:jc w:val="center"/>
              <w:rPr/>
            </w:pPr>
            <w:r>
              <w:rPr/>
              <w:t>Elenco delle tipologie di controllo a cui sono assoggettate le imprese in ragione della dimensione e del settore di attività, con l'indicazione per ciascuna di esse dei criteri e delle relative modalità di svolgimento</w:t>
            </w:r>
          </w:p>
        </w:tc>
        <w:tc>
          <w:tcPr>
            <w:tcW w:w="1134" w:type="dxa"/>
            <w:vMerge w:val="restart"/>
            <w:tcBorders/>
            <w:shd w:color="auto" w:fill="D9D9D9" w:themeFill="background1" w:themeFillShade="d9" w:val="clear"/>
            <w:vAlign w:val="center"/>
          </w:tcPr>
          <w:p>
            <w:pPr>
              <w:pStyle w:val="Intestazione"/>
              <w:jc w:val="center"/>
              <w:rPr/>
            </w:pPr>
            <w:r>
              <w:rPr/>
              <w:t>Dati non più soggetti a pubblicazione obbligatoria ai sensi del d.lgs. 97/2016</w:t>
            </w:r>
          </w:p>
        </w:tc>
        <w:tc>
          <w:tcPr>
            <w:tcW w:w="1305"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r>
        <w:trPr/>
        <w:tc>
          <w:tcPr>
            <w:tcW w:w="1134" w:type="dxa"/>
            <w:vMerge w:val="continue"/>
            <w:tcBorders/>
            <w:shd w:color="auto" w:fill="D9D9D9" w:themeFill="background1" w:themeFillShade="d9" w:val="clear"/>
            <w:vAlign w:val="center"/>
          </w:tcPr>
          <w:p>
            <w:pPr>
              <w:pStyle w:val="Intestazione"/>
              <w:jc w:val="center"/>
              <w:rPr/>
            </w:pPr>
            <w:r>
              <w:rPr/>
            </w:r>
          </w:p>
        </w:tc>
        <w:tc>
          <w:tcPr>
            <w:tcW w:w="1701" w:type="dxa"/>
            <w:tcBorders/>
            <w:shd w:color="auto" w:fill="D9D9D9" w:themeFill="background1" w:themeFillShade="d9" w:val="clear"/>
            <w:vAlign w:val="center"/>
          </w:tcPr>
          <w:p>
            <w:pPr>
              <w:pStyle w:val="Intestazione"/>
              <w:jc w:val="center"/>
              <w:rPr>
                <w:b/>
                <w:b/>
              </w:rPr>
            </w:pPr>
            <w:r>
              <w:rPr>
                <w:b/>
              </w:rPr>
            </w:r>
          </w:p>
        </w:tc>
        <w:tc>
          <w:tcPr>
            <w:tcW w:w="1134" w:type="dxa"/>
            <w:tcBorders/>
            <w:shd w:color="auto" w:fill="D9D9D9" w:themeFill="background1" w:themeFillShade="d9" w:val="clear"/>
          </w:tcPr>
          <w:p>
            <w:pPr>
              <w:pStyle w:val="Normal"/>
              <w:jc w:val="center"/>
              <w:rPr>
                <w:lang w:val="en-GB"/>
              </w:rPr>
            </w:pPr>
            <w:r>
              <w:rPr>
                <w:lang w:val="en-GB"/>
              </w:rPr>
              <w:t>Art. 25, c. 1, lett. b), d.lgs. n. 33/2013</w:t>
            </w:r>
          </w:p>
        </w:tc>
        <w:tc>
          <w:tcPr>
            <w:tcW w:w="2268" w:type="dxa"/>
            <w:tcBorders/>
            <w:shd w:color="auto" w:fill="D9D9D9" w:themeFill="background1" w:themeFillShade="d9" w:val="clear"/>
          </w:tcPr>
          <w:p>
            <w:pPr>
              <w:pStyle w:val="Normal"/>
              <w:jc w:val="center"/>
              <w:rPr/>
            </w:pPr>
            <w:r>
              <w:rPr/>
              <w:t>Obblighi e adempimenti</w:t>
            </w:r>
          </w:p>
        </w:tc>
        <w:tc>
          <w:tcPr>
            <w:tcW w:w="5670" w:type="dxa"/>
            <w:tcBorders/>
            <w:shd w:color="auto" w:fill="D9D9D9" w:themeFill="background1" w:themeFillShade="d9" w:val="clear"/>
          </w:tcPr>
          <w:p>
            <w:pPr>
              <w:pStyle w:val="Normal"/>
              <w:jc w:val="center"/>
              <w:rPr/>
            </w:pPr>
            <w:r>
              <w:rPr/>
              <w:t>Elenco degli obblighi e degli adempimenti oggetto delle attività di controllo che le imprese sono tenute a rispettare per ottemperare alle disposizioni normative</w:t>
            </w:r>
          </w:p>
        </w:tc>
        <w:tc>
          <w:tcPr>
            <w:tcW w:w="1134" w:type="dxa"/>
            <w:vMerge w:val="continue"/>
            <w:tcBorders/>
            <w:shd w:color="auto" w:fill="D9D9D9" w:themeFill="background1" w:themeFillShade="d9" w:val="clear"/>
            <w:vAlign w:val="center"/>
          </w:tcPr>
          <w:p>
            <w:pPr>
              <w:pStyle w:val="Intestazione"/>
              <w:jc w:val="center"/>
              <w:rPr/>
            </w:pPr>
            <w:r>
              <w:rPr/>
            </w:r>
          </w:p>
        </w:tc>
        <w:tc>
          <w:tcPr>
            <w:tcW w:w="1305" w:type="dxa"/>
            <w:tcBorders/>
            <w:shd w:color="auto" w:fill="D9D9D9" w:themeFill="background1" w:themeFillShade="d9" w:val="clear"/>
            <w:vAlign w:val="center"/>
          </w:tcPr>
          <w:p>
            <w:pPr>
              <w:pStyle w:val="Intestazione"/>
              <w:jc w:val="center"/>
              <w:rPr/>
            </w:pPr>
            <w:r>
              <w:rPr/>
            </w:r>
          </w:p>
        </w:tc>
        <w:tc>
          <w:tcPr>
            <w:tcW w:w="1273" w:type="dxa"/>
            <w:tcBorders/>
            <w:shd w:color="auto" w:fill="D9D9D9" w:themeFill="background1" w:themeFillShade="d9"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Bandi di gara</w:t>
            </w:r>
          </w:p>
          <w:p>
            <w:pPr>
              <w:pStyle w:val="Intestazione"/>
              <w:jc w:val="center"/>
              <w:rPr/>
            </w:pPr>
            <w:r>
              <w:rPr>
                <w:rFonts w:ascii="Berlin Sans FB Demi" w:hAnsi="Berlin Sans FB Demi"/>
                <w:b/>
              </w:rPr>
              <w:t>e contratti</w:t>
            </w:r>
          </w:p>
        </w:tc>
        <w:tc>
          <w:tcPr>
            <w:tcW w:w="1701" w:type="dxa"/>
            <w:vMerge w:val="restart"/>
            <w:tcBorders/>
            <w:vAlign w:val="center"/>
          </w:tcPr>
          <w:p>
            <w:pPr>
              <w:pStyle w:val="Intestazione"/>
              <w:jc w:val="center"/>
              <w:rPr>
                <w:b/>
                <w:b/>
              </w:rPr>
            </w:pPr>
            <w:r>
              <w:rPr>
                <w:b/>
              </w:rPr>
              <w:t>Informazioni sulle singole procedure in formato tabellare</w:t>
            </w:r>
          </w:p>
        </w:tc>
        <w:tc>
          <w:tcPr>
            <w:tcW w:w="1134" w:type="dxa"/>
            <w:tcBorders/>
            <w:vAlign w:val="center"/>
          </w:tcPr>
          <w:p>
            <w:pPr>
              <w:pStyle w:val="Intestazione"/>
              <w:jc w:val="center"/>
              <w:rPr/>
            </w:pPr>
            <w:r>
              <w:rPr/>
              <w:t>Art. 4 delib. Anac n. 39/2016</w:t>
            </w:r>
          </w:p>
        </w:tc>
        <w:tc>
          <w:tcPr>
            <w:tcW w:w="2268" w:type="dxa"/>
            <w:vMerge w:val="restart"/>
            <w:tcBorders/>
            <w:vAlign w:val="center"/>
          </w:tcPr>
          <w:p>
            <w:pPr>
              <w:pStyle w:val="Intestazione"/>
              <w:jc w:val="center"/>
              <w:rPr/>
            </w:pPr>
            <w:r>
              <w:rPr/>
              <w:t>Dati previsti dall'articolo 1, comma 32, della legge 6 novembre 2012, n. 190 Informazioni sulle singole procedure</w:t>
            </w:r>
          </w:p>
          <w:p>
            <w:pPr>
              <w:pStyle w:val="Intestazione"/>
              <w:jc w:val="center"/>
              <w:rPr/>
            </w:pPr>
            <w:r>
              <w:rPr/>
              <w:t>(da pubblicare secondo le "Specifiche tecniche per la pubblicazione dei dati ai sensi dell'art. 1, comma 32, della Legge n. 190/2012", adottate secondo quanto indicato nella delib. Anac 39/2016)</w:t>
            </w:r>
          </w:p>
        </w:tc>
        <w:tc>
          <w:tcPr>
            <w:tcW w:w="5670" w:type="dxa"/>
            <w:tcBorders/>
            <w:vAlign w:val="center"/>
          </w:tcPr>
          <w:p>
            <w:pPr>
              <w:pStyle w:val="Normal"/>
              <w:tabs>
                <w:tab w:val="clear" w:pos="709"/>
                <w:tab w:val="left" w:pos="1665" w:leader="none"/>
                <w:tab w:val="center" w:pos="2807" w:leader="none"/>
              </w:tabs>
              <w:jc w:val="center"/>
              <w:rPr/>
            </w:pPr>
            <w:r>
              <w:rPr/>
              <w:t>Codice Identificativo Gara (CIG) Tempestivo</w:t>
            </w:r>
          </w:p>
        </w:tc>
        <w:tc>
          <w:tcPr>
            <w:tcW w:w="1134" w:type="dxa"/>
            <w:tcBorders/>
            <w:vAlign w:val="center"/>
          </w:tcPr>
          <w:p>
            <w:pPr>
              <w:pStyle w:val="Normal"/>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lang w:val="en-GB"/>
              </w:rPr>
              <w:t xml:space="preserve">Art. 1, c. 32, l. n. 190/2012 Art. 37, c. 1, lett. a) d.lgs. n. 33/2013  Art. 4 delib. </w:t>
            </w:r>
            <w:r>
              <w:rPr/>
              <w:t>Anac n. 39/2016</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center"/>
              <w:rPr/>
            </w:pPr>
            <w:r>
              <w:rPr/>
              <w:t>Struttura proponente, Oggetto del bando, Procedura di scelta del contraente, Elenco degli operatori invitati a presentare offerte/Numero di offerenti che hanno partecipato al procedimento, Aggiudicatario, Importo di aggiudicazione, Tempi di completamento dell'opera servizio o fornitura, Importo delle somme liquidate</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lang w:val="en-GB"/>
              </w:rPr>
              <w:t xml:space="preserve">Art. 1, c. 32, l. n. 190/2012 Art. 37, c. 1, lett. a) d.lgs. n. 33/2013  Art. 4 delib. </w:t>
            </w:r>
            <w:r>
              <w:rPr/>
              <w:t>Anac n. 39/2016</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Tabelle riassuntive rese liberamente scaricabili in un formato digitale standard aperto con informazioni sui contratti relative all'anno precedente (nello specifico: Codice Identificativo Gara (CIG), struttura proponente, oggetto del bando, procedura di scelta del contraente, elenco degli operatori invitati a presentare offerte/numero di offerenti che hanno partecipato al procedimento, aggiudicatario, importo di aggiudicazione, tempi di completamento dell'opera servizio o fornitura, importo delle somme liquidate)</w:t>
            </w:r>
          </w:p>
        </w:tc>
        <w:tc>
          <w:tcPr>
            <w:tcW w:w="1134" w:type="dxa"/>
            <w:tcBorders/>
            <w:vAlign w:val="center"/>
          </w:tcPr>
          <w:p>
            <w:pPr>
              <w:pStyle w:val="Intestazione"/>
              <w:jc w:val="center"/>
              <w:rPr>
                <w:lang w:val="en-GB"/>
              </w:rPr>
            </w:pPr>
            <w:r>
              <w:rPr>
                <w:lang w:val="en-GB"/>
              </w:rPr>
              <w:t>Annuale</w:t>
            </w:r>
          </w:p>
          <w:p>
            <w:pPr>
              <w:pStyle w:val="Intestazione"/>
              <w:jc w:val="center"/>
              <w:rPr>
                <w:lang w:val="en-GB"/>
              </w:rPr>
            </w:pPr>
            <w:r>
              <w:rPr>
                <w:lang w:val="en-GB"/>
              </w:rPr>
              <w:t>art. 1, c. 32,</w:t>
            </w:r>
          </w:p>
          <w:p>
            <w:pPr>
              <w:pStyle w:val="Intestazione"/>
              <w:jc w:val="center"/>
              <w:rPr>
                <w:lang w:val="en-GB"/>
              </w:rPr>
            </w:pPr>
            <w:r>
              <w:rPr>
                <w:lang w:val="en-GB"/>
              </w:rPr>
              <w:t xml:space="preserve"> </w:t>
            </w:r>
            <w:r>
              <w:rPr>
                <w:lang w:val="en-GB"/>
              </w:rPr>
              <w:t>l. n. 190/2012</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restart"/>
            <w:tcBorders/>
            <w:vAlign w:val="center"/>
          </w:tcPr>
          <w:p>
            <w:pPr>
              <w:pStyle w:val="Intestazione"/>
              <w:jc w:val="center"/>
              <w:rPr>
                <w:b/>
                <w:b/>
              </w:rPr>
            </w:pPr>
            <w:r>
              <w:rPr>
                <w:b/>
              </w:rPr>
              <w:t>Atti delle amministrazioni aggiudicatrici e degli enti aggiudicatori distintamente per ogni procedura</w:t>
            </w:r>
          </w:p>
        </w:tc>
        <w:tc>
          <w:tcPr>
            <w:tcW w:w="1134" w:type="dxa"/>
            <w:tcBorders/>
          </w:tcPr>
          <w:p>
            <w:pPr>
              <w:pStyle w:val="Normal"/>
              <w:jc w:val="center"/>
              <w:rPr>
                <w:lang w:val="en-GB"/>
              </w:rPr>
            </w:pPr>
            <w:r>
              <w:rPr>
                <w:lang w:val="en-GB"/>
              </w:rPr>
              <w:t>Art. 37, c. 1, lett. b) d.lgs. n. 33/2013 Artt. 21, c. 7, e 29, c. 1, d.lgs. n. 50/2016</w:t>
            </w:r>
          </w:p>
        </w:tc>
        <w:tc>
          <w:tcPr>
            <w:tcW w:w="2268" w:type="dxa"/>
            <w:tcBorders/>
            <w:vAlign w:val="center"/>
          </w:tcPr>
          <w:p>
            <w:pPr>
              <w:pStyle w:val="Normal"/>
              <w:jc w:val="center"/>
              <w:rPr/>
            </w:pPr>
            <w:r>
              <w:rPr/>
              <w:t>Atti relativi alla programmazione di lavori, opere, servizi e forniture</w:t>
            </w:r>
          </w:p>
        </w:tc>
        <w:tc>
          <w:tcPr>
            <w:tcW w:w="5670" w:type="dxa"/>
            <w:tcBorders/>
            <w:vAlign w:val="center"/>
          </w:tcPr>
          <w:p>
            <w:pPr>
              <w:pStyle w:val="Normal"/>
              <w:jc w:val="center"/>
              <w:rPr/>
            </w:pPr>
            <w:r>
              <w:rPr/>
              <w:t>Programma biennale degli acquisti di beni e servizi, programma triennale dei lavori pubblici e relativi aggiornamenti annuali</w:t>
            </w:r>
          </w:p>
        </w:tc>
        <w:tc>
          <w:tcPr>
            <w:tcW w:w="1134" w:type="dxa"/>
            <w:tcBorders/>
            <w:vAlign w:val="center"/>
          </w:tcPr>
          <w:p>
            <w:pPr>
              <w:pStyle w:val="Normal"/>
              <w:jc w:val="center"/>
              <w:rPr/>
            </w:pPr>
            <w:r>
              <w:rPr/>
              <w:t>Tempestivo</w:t>
            </w:r>
          </w:p>
        </w:tc>
        <w:tc>
          <w:tcPr>
            <w:tcW w:w="1305" w:type="dxa"/>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vMerge w:val="continue"/>
            <w:tcBorders/>
            <w:vAlign w:val="center"/>
          </w:tcPr>
          <w:p>
            <w:pPr>
              <w:pStyle w:val="Intestazione"/>
              <w:jc w:val="center"/>
              <w:rPr>
                <w:b/>
                <w:b/>
                <w:lang w:val="en-GB"/>
              </w:rPr>
            </w:pPr>
            <w:r>
              <w:rPr>
                <w:b/>
                <w:lang w:val="en-GB"/>
              </w:rPr>
            </w:r>
          </w:p>
        </w:tc>
        <w:tc>
          <w:tcPr>
            <w:tcW w:w="1134" w:type="dxa"/>
            <w:tcBorders/>
          </w:tcPr>
          <w:p>
            <w:pPr>
              <w:pStyle w:val="Normal"/>
              <w:jc w:val="center"/>
              <w:rPr>
                <w:lang w:val="en-GB"/>
              </w:rPr>
            </w:pPr>
            <w:r>
              <w:rPr>
                <w:lang w:val="en-GB"/>
              </w:rPr>
            </w:r>
          </w:p>
        </w:tc>
        <w:tc>
          <w:tcPr>
            <w:tcW w:w="2268" w:type="dxa"/>
            <w:tcBorders/>
          </w:tcPr>
          <w:p>
            <w:pPr>
              <w:pStyle w:val="Normal"/>
              <w:jc w:val="center"/>
              <w:rPr/>
            </w:pPr>
            <w:r>
              <w:rPr/>
            </w:r>
          </w:p>
        </w:tc>
        <w:tc>
          <w:tcPr>
            <w:tcW w:w="5670" w:type="dxa"/>
            <w:tcBorders/>
          </w:tcPr>
          <w:p>
            <w:pPr>
              <w:pStyle w:val="Normal"/>
              <w:tabs>
                <w:tab w:val="clear" w:pos="709"/>
                <w:tab w:val="left" w:pos="338" w:leader="none"/>
              </w:tabs>
              <w:rPr/>
            </w:pPr>
            <w:r>
              <w:rPr/>
              <w:t>Per ciascuna procedura:</w:t>
            </w:r>
          </w:p>
        </w:tc>
        <w:tc>
          <w:tcPr>
            <w:tcW w:w="1134" w:type="dxa"/>
            <w:tcBorders/>
          </w:tcPr>
          <w:p>
            <w:pPr>
              <w:pStyle w:val="Normal"/>
              <w:jc w:val="center"/>
              <w:rPr/>
            </w:pPr>
            <w:r>
              <w:rPr/>
            </w:r>
          </w:p>
        </w:tc>
        <w:tc>
          <w:tcPr>
            <w:tcW w:w="1305" w:type="dxa"/>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lang w:val="en-GB"/>
              </w:rPr>
            </w:pPr>
            <w:r>
              <w:rPr>
                <w:lang w:val="en-GB"/>
              </w:rPr>
            </w:r>
          </w:p>
        </w:tc>
        <w:tc>
          <w:tcPr>
            <w:tcW w:w="1701" w:type="dxa"/>
            <w:vMerge w:val="continue"/>
            <w:tcBorders/>
            <w:vAlign w:val="center"/>
          </w:tcPr>
          <w:p>
            <w:pPr>
              <w:pStyle w:val="Intestazione"/>
              <w:jc w:val="center"/>
              <w:rPr>
                <w:b/>
                <w:b/>
                <w:lang w:val="en-GB"/>
              </w:rPr>
            </w:pPr>
            <w:r>
              <w:rPr>
                <w:b/>
                <w:lang w:val="en-GB"/>
              </w:rPr>
            </w:r>
          </w:p>
        </w:tc>
        <w:tc>
          <w:tcPr>
            <w:tcW w:w="1134" w:type="dxa"/>
            <w:tcBorders/>
            <w:vAlign w:val="center"/>
          </w:tcPr>
          <w:p>
            <w:pPr>
              <w:pStyle w:val="Intestazione"/>
              <w:jc w:val="center"/>
              <w:rPr>
                <w:lang w:val="en-GB"/>
              </w:rPr>
            </w:pPr>
            <w:r>
              <w:rPr>
                <w:lang w:val="en-GB"/>
              </w:rPr>
              <w:t>Art. 37, c. 1, lett. b) d.lgs. n. 33/2013 e art. 29, c. 1, d.lgs. n. 50/2016</w:t>
            </w:r>
          </w:p>
        </w:tc>
        <w:tc>
          <w:tcPr>
            <w:tcW w:w="2268" w:type="dxa"/>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Avvisi di preinformazione - Avvisi di preinformazione (art. 70, c. 1, 2 e 3, dlgs n. 50/2016); Bandi ed avvisi di preinformazioni (art. 141, dlgs n. 50/2016)</w:t>
            </w:r>
          </w:p>
        </w:tc>
        <w:tc>
          <w:tcPr>
            <w:tcW w:w="1134" w:type="dxa"/>
            <w:tcBorders/>
            <w:vAlign w:val="center"/>
          </w:tcPr>
          <w:p>
            <w:pPr>
              <w:pStyle w:val="Intestazione"/>
              <w:jc w:val="center"/>
              <w:rPr/>
            </w:pPr>
            <w:r>
              <w:rPr/>
              <w:t>Tempestivo</w:t>
            </w:r>
          </w:p>
        </w:tc>
        <w:tc>
          <w:tcPr>
            <w:tcW w:w="1305" w:type="dxa"/>
            <w:tcBorders/>
            <w:vAlign w:val="center"/>
          </w:tcPr>
          <w:p>
            <w:pPr>
              <w:pStyle w:val="Normal"/>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lang w:val="en-GB"/>
              </w:rPr>
            </w:pPr>
            <w:r>
              <w:rPr>
                <w:lang w:val="en-GB"/>
              </w:rPr>
              <w:t xml:space="preserve"> </w:t>
            </w:r>
            <w:r>
              <w:rPr>
                <w:lang w:val="en-GB"/>
              </w:rPr>
              <w:t>d.lgs. n. 50/2016</w:t>
            </w:r>
          </w:p>
        </w:tc>
        <w:tc>
          <w:tcPr>
            <w:tcW w:w="2268" w:type="dxa"/>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Delibera a contrarre o atto equivalente (per tutte le procedure)</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pPr>
            <w:r>
              <w:rPr/>
            </w:r>
          </w:p>
        </w:tc>
        <w:tc>
          <w:tcPr>
            <w:tcW w:w="1701" w:type="dxa"/>
            <w:vMerge w:val="continue"/>
            <w:tcBorders>
              <w:bottom w:val="nil"/>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w w:val="125"/>
              </w:rPr>
              <w:t>Art. 47, comma 9, del DL n.</w:t>
            </w:r>
            <w:r>
              <w:rPr>
                <w:spacing w:val="1"/>
                <w:w w:val="125"/>
              </w:rPr>
              <w:t xml:space="preserve"> </w:t>
            </w:r>
            <w:r>
              <w:rPr>
                <w:w w:val="120"/>
              </w:rPr>
              <w:t>77/2021, convertito in Legge</w:t>
            </w:r>
            <w:r>
              <w:rPr>
                <w:spacing w:val="1"/>
                <w:w w:val="120"/>
              </w:rPr>
              <w:t xml:space="preserve"> </w:t>
            </w:r>
            <w:r>
              <w:rPr>
                <w:w w:val="125"/>
              </w:rPr>
              <w:t>n.</w:t>
            </w:r>
            <w:r>
              <w:rPr>
                <w:spacing w:val="11"/>
                <w:w w:val="125"/>
              </w:rPr>
              <w:t xml:space="preserve"> </w:t>
            </w:r>
            <w:r>
              <w:rPr>
                <w:w w:val="125"/>
              </w:rPr>
              <w:t>108/2021</w:t>
            </w:r>
          </w:p>
        </w:tc>
        <w:tc>
          <w:tcPr>
            <w:tcW w:w="2268" w:type="dxa"/>
            <w:tcBorders/>
            <w:vAlign w:val="center"/>
          </w:tcPr>
          <w:p>
            <w:pPr>
              <w:pStyle w:val="Intestazione"/>
              <w:jc w:val="center"/>
              <w:rPr>
                <w:lang w:val="en-GB"/>
              </w:rPr>
            </w:pPr>
            <w:r>
              <w:rPr/>
              <w:t>Rapporti</w:t>
            </w:r>
            <w:r>
              <w:rPr>
                <w:lang w:val="en-GB"/>
              </w:rPr>
              <w:t xml:space="preserve"> e </w:t>
            </w:r>
            <w:r>
              <w:rPr/>
              <w:t>relazioni</w:t>
            </w:r>
            <w:r>
              <w:rPr>
                <w:lang w:val="en-GB"/>
              </w:rPr>
              <w:t xml:space="preserve"> </w:t>
            </w:r>
            <w:r>
              <w:rPr/>
              <w:t>di</w:t>
            </w:r>
            <w:r>
              <w:rPr>
                <w:lang w:val="en-GB"/>
              </w:rPr>
              <w:t xml:space="preserve"> cui </w:t>
            </w:r>
            <w:r>
              <w:rPr/>
              <w:t>ai</w:t>
            </w:r>
            <w:r>
              <w:rPr>
                <w:lang w:val="en-GB"/>
              </w:rPr>
              <w:t xml:space="preserve"> </w:t>
            </w:r>
          </w:p>
          <w:p>
            <w:pPr>
              <w:pStyle w:val="Intestazione"/>
              <w:jc w:val="center"/>
              <w:rPr>
                <w:lang w:val="en-GB"/>
              </w:rPr>
            </w:pPr>
            <w:r>
              <w:rPr/>
              <w:t>commi</w:t>
            </w:r>
            <w:r>
              <w:rPr>
                <w:lang w:val="en-GB"/>
              </w:rPr>
              <w:t xml:space="preserve"> 2, 3 e 3-bis, del d.l. n. 77/2021-Legge n. 108/2021.</w:t>
            </w:r>
          </w:p>
          <w:p>
            <w:pPr>
              <w:pStyle w:val="Intestazione"/>
              <w:jc w:val="center"/>
              <w:rPr>
                <w:lang w:val="en-GB"/>
              </w:rPr>
            </w:pPr>
            <w:r>
              <w:rPr>
                <w:w w:val="115"/>
              </w:rPr>
              <w:t>Le</w:t>
            </w:r>
            <w:r>
              <w:rPr>
                <w:spacing w:val="1"/>
                <w:w w:val="115"/>
              </w:rPr>
              <w:t xml:space="preserve"> </w:t>
            </w:r>
            <w:r>
              <w:rPr>
                <w:w w:val="115"/>
              </w:rPr>
              <w:t>presenti</w:t>
            </w:r>
            <w:r>
              <w:rPr>
                <w:spacing w:val="1"/>
                <w:w w:val="115"/>
              </w:rPr>
              <w:t xml:space="preserve"> </w:t>
            </w:r>
            <w:r>
              <w:rPr>
                <w:w w:val="115"/>
              </w:rPr>
              <w:t>disposizioni</w:t>
            </w:r>
            <w:r>
              <w:rPr>
                <w:spacing w:val="1"/>
                <w:w w:val="115"/>
              </w:rPr>
              <w:t xml:space="preserve"> </w:t>
            </w:r>
            <w:r>
              <w:rPr>
                <w:w w:val="115"/>
              </w:rPr>
              <w:t>di</w:t>
            </w:r>
            <w:r>
              <w:rPr>
                <w:spacing w:val="1"/>
                <w:w w:val="115"/>
              </w:rPr>
              <w:t xml:space="preserve"> </w:t>
            </w:r>
            <w:r>
              <w:rPr>
                <w:w w:val="115"/>
              </w:rPr>
              <w:t>trasparenza</w:t>
            </w:r>
            <w:r>
              <w:rPr>
                <w:spacing w:val="1"/>
                <w:w w:val="115"/>
              </w:rPr>
              <w:t xml:space="preserve"> </w:t>
            </w:r>
            <w:r>
              <w:rPr>
                <w:w w:val="115"/>
              </w:rPr>
              <w:t>si</w:t>
            </w:r>
            <w:r>
              <w:rPr>
                <w:spacing w:val="1"/>
                <w:w w:val="115"/>
              </w:rPr>
              <w:t xml:space="preserve"> </w:t>
            </w:r>
            <w:r>
              <w:rPr>
                <w:w w:val="115"/>
              </w:rPr>
              <w:t>applicano</w:t>
            </w:r>
            <w:r>
              <w:rPr>
                <w:spacing w:val="1"/>
                <w:w w:val="115"/>
              </w:rPr>
              <w:t xml:space="preserve"> </w:t>
            </w:r>
            <w:r>
              <w:rPr>
                <w:w w:val="115"/>
              </w:rPr>
              <w:t>solo</w:t>
            </w:r>
            <w:r>
              <w:rPr>
                <w:spacing w:val="1"/>
                <w:w w:val="115"/>
              </w:rPr>
              <w:t xml:space="preserve"> </w:t>
            </w:r>
            <w:r>
              <w:rPr>
                <w:w w:val="115"/>
              </w:rPr>
              <w:t>agli appalti  afferenti il PNRR  e</w:t>
            </w:r>
            <w:r>
              <w:rPr>
                <w:spacing w:val="1"/>
                <w:w w:val="115"/>
              </w:rPr>
              <w:t xml:space="preserve"> </w:t>
            </w:r>
            <w:r>
              <w:rPr>
                <w:w w:val="115"/>
              </w:rPr>
              <w:t>il</w:t>
            </w:r>
            <w:r>
              <w:rPr>
                <w:spacing w:val="14"/>
                <w:w w:val="115"/>
              </w:rPr>
              <w:t xml:space="preserve"> </w:t>
            </w:r>
            <w:r>
              <w:rPr>
                <w:w w:val="115"/>
              </w:rPr>
              <w:t>PNC.</w:t>
            </w:r>
          </w:p>
        </w:tc>
        <w:tc>
          <w:tcPr>
            <w:tcW w:w="5670" w:type="dxa"/>
            <w:tcBorders/>
            <w:vAlign w:val="center"/>
          </w:tcPr>
          <w:p>
            <w:pPr>
              <w:pStyle w:val="TableParagraph"/>
              <w:spacing w:lineRule="auto" w:line="247"/>
              <w:ind w:right="88" w:hanging="0"/>
              <w:jc w:val="both"/>
              <w:rPr>
                <w:sz w:val="13"/>
                <w:szCs w:val="13"/>
              </w:rPr>
            </w:pPr>
            <w:r>
              <w:rPr>
                <w:w w:val="115"/>
                <w:sz w:val="13"/>
                <w:szCs w:val="13"/>
              </w:rPr>
              <w:t xml:space="preserve">Pubblicazione </w:t>
            </w:r>
            <w:r>
              <w:rPr>
                <w:spacing w:val="1"/>
                <w:w w:val="115"/>
                <w:sz w:val="13"/>
                <w:szCs w:val="13"/>
              </w:rPr>
              <w:t xml:space="preserve"> </w:t>
            </w:r>
            <w:r>
              <w:rPr>
                <w:w w:val="115"/>
                <w:sz w:val="13"/>
                <w:szCs w:val="13"/>
              </w:rPr>
              <w:t xml:space="preserve">dei </w:t>
            </w:r>
            <w:r>
              <w:rPr>
                <w:spacing w:val="1"/>
                <w:w w:val="115"/>
                <w:sz w:val="13"/>
                <w:szCs w:val="13"/>
              </w:rPr>
              <w:t xml:space="preserve"> </w:t>
            </w:r>
            <w:r>
              <w:rPr>
                <w:w w:val="115"/>
                <w:sz w:val="13"/>
                <w:szCs w:val="13"/>
              </w:rPr>
              <w:t>rapporti</w:t>
            </w:r>
            <w:r>
              <w:rPr>
                <w:spacing w:val="-43"/>
                <w:w w:val="115"/>
                <w:sz w:val="13"/>
                <w:szCs w:val="13"/>
              </w:rPr>
              <w:t xml:space="preserve"> </w:t>
            </w:r>
            <w:r>
              <w:rPr>
                <w:w w:val="115"/>
                <w:sz w:val="13"/>
                <w:szCs w:val="13"/>
              </w:rPr>
              <w:t>sulla</w:t>
            </w:r>
            <w:r>
              <w:rPr>
                <w:spacing w:val="1"/>
                <w:w w:val="115"/>
                <w:sz w:val="13"/>
                <w:szCs w:val="13"/>
              </w:rPr>
              <w:t xml:space="preserve"> </w:t>
            </w:r>
            <w:r>
              <w:rPr>
                <w:w w:val="115"/>
                <w:sz w:val="13"/>
                <w:szCs w:val="13"/>
              </w:rPr>
              <w:t>situazione</w:t>
            </w:r>
            <w:r>
              <w:rPr>
                <w:spacing w:val="1"/>
                <w:w w:val="115"/>
                <w:sz w:val="13"/>
                <w:szCs w:val="13"/>
              </w:rPr>
              <w:t xml:space="preserve"> </w:t>
            </w:r>
            <w:r>
              <w:rPr>
                <w:w w:val="115"/>
                <w:sz w:val="13"/>
                <w:szCs w:val="13"/>
              </w:rPr>
              <w:t>del  personale,</w:t>
            </w:r>
            <w:r>
              <w:rPr>
                <w:spacing w:val="-43"/>
                <w:w w:val="115"/>
                <w:sz w:val="13"/>
                <w:szCs w:val="13"/>
              </w:rPr>
              <w:t xml:space="preserve"> </w:t>
            </w:r>
            <w:r>
              <w:rPr>
                <w:w w:val="115"/>
                <w:sz w:val="13"/>
                <w:szCs w:val="13"/>
              </w:rPr>
              <w:t>la</w:t>
            </w:r>
            <w:r>
              <w:rPr>
                <w:spacing w:val="1"/>
                <w:w w:val="115"/>
                <w:sz w:val="13"/>
                <w:szCs w:val="13"/>
              </w:rPr>
              <w:t xml:space="preserve"> </w:t>
            </w:r>
            <w:r>
              <w:rPr>
                <w:w w:val="115"/>
                <w:sz w:val="13"/>
                <w:szCs w:val="13"/>
              </w:rPr>
              <w:t>relazione</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genere</w:t>
            </w:r>
            <w:r>
              <w:rPr>
                <w:spacing w:val="1"/>
                <w:w w:val="115"/>
                <w:sz w:val="13"/>
                <w:szCs w:val="13"/>
              </w:rPr>
              <w:t xml:space="preserve"> </w:t>
            </w:r>
            <w:r>
              <w:rPr>
                <w:w w:val="115"/>
                <w:sz w:val="13"/>
                <w:szCs w:val="13"/>
              </w:rPr>
              <w:t>sulla</w:t>
            </w:r>
            <w:r>
              <w:rPr>
                <w:spacing w:val="1"/>
                <w:w w:val="115"/>
                <w:sz w:val="13"/>
                <w:szCs w:val="13"/>
              </w:rPr>
              <w:t xml:space="preserve"> </w:t>
            </w:r>
            <w:r>
              <w:rPr>
                <w:w w:val="115"/>
                <w:sz w:val="13"/>
                <w:szCs w:val="13"/>
              </w:rPr>
              <w:t>situazione</w:t>
            </w:r>
            <w:r>
              <w:rPr>
                <w:spacing w:val="1"/>
                <w:w w:val="115"/>
                <w:sz w:val="13"/>
                <w:szCs w:val="13"/>
              </w:rPr>
              <w:t xml:space="preserve"> </w:t>
            </w:r>
            <w:r>
              <w:rPr>
                <w:w w:val="115"/>
                <w:sz w:val="13"/>
                <w:szCs w:val="13"/>
              </w:rPr>
              <w:t>del</w:t>
            </w:r>
            <w:r>
              <w:rPr>
                <w:spacing w:val="1"/>
                <w:w w:val="115"/>
                <w:sz w:val="13"/>
                <w:szCs w:val="13"/>
              </w:rPr>
              <w:t xml:space="preserve"> </w:t>
            </w:r>
            <w:r>
              <w:rPr>
                <w:w w:val="115"/>
                <w:sz w:val="13"/>
                <w:szCs w:val="13"/>
              </w:rPr>
              <w:t>personale</w:t>
            </w:r>
            <w:r>
              <w:rPr>
                <w:spacing w:val="-43"/>
                <w:w w:val="115"/>
                <w:sz w:val="13"/>
                <w:szCs w:val="13"/>
              </w:rPr>
              <w:t xml:space="preserve"> </w:t>
            </w:r>
            <w:r>
              <w:rPr>
                <w:w w:val="115"/>
                <w:sz w:val="13"/>
                <w:szCs w:val="13"/>
              </w:rPr>
              <w:t>maschile</w:t>
            </w:r>
            <w:r>
              <w:rPr>
                <w:spacing w:val="1"/>
                <w:w w:val="115"/>
                <w:sz w:val="13"/>
                <w:szCs w:val="13"/>
              </w:rPr>
              <w:t xml:space="preserve"> </w:t>
            </w:r>
            <w:r>
              <w:rPr>
                <w:w w:val="115"/>
                <w:sz w:val="13"/>
                <w:szCs w:val="13"/>
              </w:rPr>
              <w:t xml:space="preserve">e </w:t>
            </w:r>
            <w:r>
              <w:rPr>
                <w:spacing w:val="1"/>
                <w:w w:val="115"/>
                <w:sz w:val="13"/>
                <w:szCs w:val="13"/>
              </w:rPr>
              <w:t xml:space="preserve"> </w:t>
            </w:r>
            <w:r>
              <w:rPr>
                <w:w w:val="115"/>
                <w:sz w:val="13"/>
                <w:szCs w:val="13"/>
              </w:rPr>
              <w:t>femminile in</w:t>
            </w:r>
            <w:r>
              <w:rPr>
                <w:spacing w:val="-43"/>
                <w:w w:val="115"/>
                <w:sz w:val="13"/>
                <w:szCs w:val="13"/>
              </w:rPr>
              <w:t xml:space="preserve"> </w:t>
            </w:r>
            <w:r>
              <w:rPr>
                <w:w w:val="115"/>
                <w:sz w:val="13"/>
                <w:szCs w:val="13"/>
              </w:rPr>
              <w:t>ognuna delle professioni ed in</w:t>
            </w:r>
            <w:r>
              <w:rPr>
                <w:spacing w:val="1"/>
                <w:w w:val="115"/>
                <w:sz w:val="13"/>
                <w:szCs w:val="13"/>
              </w:rPr>
              <w:t xml:space="preserve"> </w:t>
            </w:r>
            <w:r>
              <w:rPr>
                <w:w w:val="115"/>
                <w:sz w:val="13"/>
                <w:szCs w:val="13"/>
              </w:rPr>
              <w:t xml:space="preserve">relazione allo stato di </w:t>
            </w:r>
            <w:r>
              <w:rPr>
                <w:w w:val="120"/>
                <w:sz w:val="13"/>
                <w:szCs w:val="13"/>
              </w:rPr>
              <w:t>assunzione,</w:t>
            </w:r>
            <w:r>
              <w:rPr>
                <w:spacing w:val="45"/>
                <w:w w:val="120"/>
                <w:sz w:val="13"/>
                <w:szCs w:val="13"/>
              </w:rPr>
              <w:t xml:space="preserve"> </w:t>
            </w:r>
            <w:r>
              <w:rPr>
                <w:w w:val="120"/>
                <w:sz w:val="13"/>
                <w:szCs w:val="13"/>
              </w:rPr>
              <w:t>della</w:t>
            </w:r>
            <w:r>
              <w:rPr>
                <w:spacing w:val="43"/>
                <w:w w:val="120"/>
                <w:sz w:val="13"/>
                <w:szCs w:val="13"/>
              </w:rPr>
              <w:t xml:space="preserve"> </w:t>
            </w:r>
            <w:r>
              <w:rPr>
                <w:w w:val="120"/>
                <w:sz w:val="13"/>
                <w:szCs w:val="13"/>
              </w:rPr>
              <w:t xml:space="preserve">formazione, </w:t>
            </w:r>
            <w:r>
              <w:rPr>
                <w:w w:val="115"/>
                <w:sz w:val="13"/>
                <w:szCs w:val="13"/>
              </w:rPr>
              <w:t>della</w:t>
              <w:tab/>
              <w:tab/>
            </w:r>
            <w:r>
              <w:rPr>
                <w:w w:val="110"/>
                <w:sz w:val="13"/>
                <w:szCs w:val="13"/>
              </w:rPr>
              <w:t>promozione</w:t>
            </w:r>
            <w:r>
              <w:rPr>
                <w:spacing w:val="-42"/>
                <w:w w:val="110"/>
                <w:sz w:val="13"/>
                <w:szCs w:val="13"/>
              </w:rPr>
              <w:t xml:space="preserve"> </w:t>
            </w:r>
            <w:r>
              <w:rPr>
                <w:w w:val="115"/>
                <w:sz w:val="13"/>
                <w:szCs w:val="13"/>
              </w:rPr>
              <w:t>professionale,</w:t>
            </w:r>
            <w:r>
              <w:rPr>
                <w:spacing w:val="1"/>
                <w:w w:val="115"/>
                <w:sz w:val="13"/>
                <w:szCs w:val="13"/>
              </w:rPr>
              <w:t xml:space="preserve"> </w:t>
            </w:r>
            <w:r>
              <w:rPr>
                <w:w w:val="115"/>
                <w:sz w:val="13"/>
                <w:szCs w:val="13"/>
              </w:rPr>
              <w:t>dei</w:t>
            </w:r>
            <w:r>
              <w:rPr>
                <w:spacing w:val="1"/>
                <w:w w:val="115"/>
                <w:sz w:val="13"/>
                <w:szCs w:val="13"/>
              </w:rPr>
              <w:t xml:space="preserve"> </w:t>
            </w:r>
            <w:r>
              <w:rPr>
                <w:w w:val="115"/>
                <w:sz w:val="13"/>
                <w:szCs w:val="13"/>
              </w:rPr>
              <w:t>livelli,</w:t>
            </w:r>
            <w:r>
              <w:rPr>
                <w:spacing w:val="1"/>
                <w:w w:val="115"/>
                <w:sz w:val="13"/>
                <w:szCs w:val="13"/>
              </w:rPr>
              <w:t xml:space="preserve"> </w:t>
            </w:r>
            <w:r>
              <w:rPr>
                <w:w w:val="115"/>
                <w:sz w:val="13"/>
                <w:szCs w:val="13"/>
              </w:rPr>
              <w:t>dei</w:t>
            </w:r>
            <w:r>
              <w:rPr>
                <w:spacing w:val="1"/>
                <w:w w:val="115"/>
                <w:sz w:val="13"/>
                <w:szCs w:val="13"/>
              </w:rPr>
              <w:t xml:space="preserve"> </w:t>
            </w:r>
            <w:r>
              <w:rPr>
                <w:w w:val="115"/>
                <w:sz w:val="13"/>
                <w:szCs w:val="13"/>
              </w:rPr>
              <w:t>passaggi</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categoria</w:t>
            </w:r>
            <w:r>
              <w:rPr>
                <w:spacing w:val="1"/>
                <w:w w:val="115"/>
                <w:sz w:val="13"/>
                <w:szCs w:val="13"/>
              </w:rPr>
              <w:t xml:space="preserve"> </w:t>
            </w:r>
            <w:r>
              <w:rPr>
                <w:w w:val="115"/>
                <w:sz w:val="13"/>
                <w:szCs w:val="13"/>
              </w:rPr>
              <w:t>o</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qualifica,</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altri</w:t>
            </w:r>
            <w:r>
              <w:rPr>
                <w:spacing w:val="1"/>
                <w:w w:val="115"/>
                <w:sz w:val="13"/>
                <w:szCs w:val="13"/>
              </w:rPr>
              <w:t xml:space="preserve"> </w:t>
            </w:r>
            <w:r>
              <w:rPr>
                <w:w w:val="115"/>
                <w:sz w:val="13"/>
                <w:szCs w:val="13"/>
              </w:rPr>
              <w:t>fenomeni</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mobilità,</w:t>
            </w:r>
            <w:r>
              <w:rPr>
                <w:spacing w:val="1"/>
                <w:w w:val="115"/>
                <w:sz w:val="13"/>
                <w:szCs w:val="13"/>
              </w:rPr>
              <w:t xml:space="preserve"> </w:t>
            </w:r>
            <w:r>
              <w:rPr>
                <w:w w:val="115"/>
                <w:sz w:val="13"/>
                <w:szCs w:val="13"/>
              </w:rPr>
              <w:t>dell’intervento</w:t>
            </w:r>
            <w:r>
              <w:rPr>
                <w:spacing w:val="1"/>
                <w:w w:val="115"/>
                <w:sz w:val="13"/>
                <w:szCs w:val="13"/>
              </w:rPr>
              <w:t xml:space="preserve"> </w:t>
            </w:r>
            <w:r>
              <w:rPr>
                <w:w w:val="115"/>
                <w:sz w:val="13"/>
                <w:szCs w:val="13"/>
              </w:rPr>
              <w:t>della</w:t>
            </w:r>
            <w:r>
              <w:rPr>
                <w:spacing w:val="-43"/>
                <w:w w:val="115"/>
                <w:sz w:val="13"/>
                <w:szCs w:val="13"/>
              </w:rPr>
              <w:t xml:space="preserve"> </w:t>
            </w:r>
            <w:r>
              <w:rPr>
                <w:w w:val="115"/>
                <w:sz w:val="13"/>
                <w:szCs w:val="13"/>
              </w:rPr>
              <w:t>Cassa</w:t>
            </w:r>
            <w:r>
              <w:rPr>
                <w:spacing w:val="1"/>
                <w:w w:val="115"/>
                <w:sz w:val="13"/>
                <w:szCs w:val="13"/>
              </w:rPr>
              <w:t xml:space="preserve"> </w:t>
            </w:r>
            <w:r>
              <w:rPr>
                <w:w w:val="115"/>
                <w:sz w:val="13"/>
                <w:szCs w:val="13"/>
              </w:rPr>
              <w:t>integrazione</w:t>
            </w:r>
            <w:r>
              <w:rPr>
                <w:spacing w:val="1"/>
                <w:w w:val="115"/>
                <w:sz w:val="13"/>
                <w:szCs w:val="13"/>
              </w:rPr>
              <w:t xml:space="preserve"> </w:t>
            </w:r>
            <w:r>
              <w:rPr>
                <w:w w:val="115"/>
                <w:sz w:val="13"/>
                <w:szCs w:val="13"/>
              </w:rPr>
              <w:t>guadagni,</w:t>
            </w:r>
            <w:r>
              <w:rPr>
                <w:spacing w:val="1"/>
                <w:w w:val="115"/>
                <w:sz w:val="13"/>
                <w:szCs w:val="13"/>
              </w:rPr>
              <w:t xml:space="preserve"> </w:t>
            </w:r>
            <w:r>
              <w:rPr>
                <w:w w:val="115"/>
                <w:sz w:val="13"/>
                <w:szCs w:val="13"/>
              </w:rPr>
              <w:t>dei</w:t>
              <w:tab/>
              <w:t>licenziamenti,</w:t>
              <w:tab/>
              <w:tab/>
            </w:r>
            <w:r>
              <w:rPr>
                <w:spacing w:val="-2"/>
                <w:w w:val="115"/>
                <w:sz w:val="13"/>
                <w:szCs w:val="13"/>
              </w:rPr>
              <w:t>dei p</w:t>
            </w:r>
            <w:r>
              <w:rPr>
                <w:w w:val="115"/>
                <w:sz w:val="13"/>
                <w:szCs w:val="13"/>
              </w:rPr>
              <w:t>repensiona-menti</w:t>
              <w:tab/>
              <w:tab/>
              <w:t xml:space="preserve"> </w:t>
              <w:tab/>
              <w:tab/>
              <w:tab/>
            </w:r>
            <w:r>
              <w:rPr>
                <w:spacing w:val="-6"/>
                <w:w w:val="115"/>
                <w:sz w:val="13"/>
                <w:szCs w:val="13"/>
              </w:rPr>
              <w:t>e</w:t>
            </w:r>
            <w:r>
              <w:rPr>
                <w:spacing w:val="-44"/>
                <w:w w:val="115"/>
                <w:sz w:val="13"/>
                <w:szCs w:val="13"/>
              </w:rPr>
              <w:t xml:space="preserve"> </w:t>
            </w:r>
            <w:r>
              <w:rPr>
                <w:w w:val="115"/>
                <w:sz w:val="13"/>
                <w:szCs w:val="13"/>
              </w:rPr>
              <w:t>pensionamenti</w:t>
              <w:tab/>
              <w:tab/>
              <w:tab/>
              <w:t>della</w:t>
            </w:r>
            <w:r>
              <w:rPr>
                <w:spacing w:val="-44"/>
                <w:w w:val="115"/>
                <w:sz w:val="13"/>
                <w:szCs w:val="13"/>
              </w:rPr>
              <w:t xml:space="preserve"> </w:t>
            </w:r>
            <w:r>
              <w:rPr>
                <w:w w:val="115"/>
                <w:sz w:val="13"/>
                <w:szCs w:val="13"/>
              </w:rPr>
              <w:t>retribuzione</w:t>
            </w:r>
            <w:r>
              <w:rPr>
                <w:spacing w:val="1"/>
                <w:w w:val="115"/>
                <w:sz w:val="13"/>
                <w:szCs w:val="13"/>
              </w:rPr>
              <w:t xml:space="preserve"> </w:t>
            </w:r>
            <w:r>
              <w:rPr>
                <w:w w:val="115"/>
                <w:sz w:val="13"/>
                <w:szCs w:val="13"/>
              </w:rPr>
              <w:t>effettivamente</w:t>
            </w:r>
            <w:r>
              <w:rPr>
                <w:spacing w:val="1"/>
                <w:w w:val="115"/>
                <w:sz w:val="13"/>
                <w:szCs w:val="13"/>
              </w:rPr>
              <w:t xml:space="preserve"> </w:t>
            </w:r>
            <w:r>
              <w:rPr>
                <w:w w:val="115"/>
                <w:sz w:val="13"/>
                <w:szCs w:val="13"/>
              </w:rPr>
              <w:t>corrisposta e la certificazione e</w:t>
            </w:r>
            <w:r>
              <w:rPr>
                <w:spacing w:val="1"/>
                <w:w w:val="115"/>
                <w:sz w:val="13"/>
                <w:szCs w:val="13"/>
              </w:rPr>
              <w:t xml:space="preserve"> </w:t>
            </w:r>
            <w:r>
              <w:rPr>
                <w:w w:val="115"/>
                <w:sz w:val="13"/>
                <w:szCs w:val="13"/>
              </w:rPr>
              <w:t>la</w:t>
            </w:r>
            <w:r>
              <w:rPr>
                <w:spacing w:val="1"/>
                <w:w w:val="115"/>
                <w:sz w:val="13"/>
                <w:szCs w:val="13"/>
              </w:rPr>
              <w:t xml:space="preserve"> </w:t>
            </w:r>
            <w:r>
              <w:rPr>
                <w:w w:val="115"/>
                <w:sz w:val="13"/>
                <w:szCs w:val="13"/>
              </w:rPr>
              <w:t xml:space="preserve">relazione </w:t>
            </w:r>
            <w:r>
              <w:rPr>
                <w:spacing w:val="1"/>
                <w:w w:val="115"/>
                <w:sz w:val="13"/>
                <w:szCs w:val="13"/>
              </w:rPr>
              <w:t xml:space="preserve"> </w:t>
            </w:r>
            <w:r>
              <w:rPr>
                <w:w w:val="115"/>
                <w:sz w:val="13"/>
                <w:szCs w:val="13"/>
              </w:rPr>
              <w:t>sull’attuazione</w:t>
            </w:r>
            <w:r>
              <w:rPr>
                <w:spacing w:val="1"/>
                <w:w w:val="115"/>
                <w:sz w:val="13"/>
                <w:szCs w:val="13"/>
              </w:rPr>
              <w:t xml:space="preserve"> </w:t>
            </w:r>
            <w:r>
              <w:rPr>
                <w:w w:val="115"/>
                <w:sz w:val="13"/>
                <w:szCs w:val="13"/>
              </w:rPr>
              <w:t>delle</w:t>
            </w:r>
            <w:r>
              <w:rPr>
                <w:spacing w:val="1"/>
                <w:w w:val="115"/>
                <w:sz w:val="13"/>
                <w:szCs w:val="13"/>
              </w:rPr>
              <w:t xml:space="preserve"> </w:t>
            </w:r>
            <w:r>
              <w:rPr>
                <w:w w:val="115"/>
                <w:sz w:val="13"/>
                <w:szCs w:val="13"/>
              </w:rPr>
              <w:t>norme</w:t>
            </w:r>
            <w:r>
              <w:rPr>
                <w:spacing w:val="1"/>
                <w:w w:val="115"/>
                <w:sz w:val="13"/>
                <w:szCs w:val="13"/>
              </w:rPr>
              <w:t xml:space="preserve"> </w:t>
            </w:r>
            <w:r>
              <w:rPr>
                <w:w w:val="115"/>
                <w:sz w:val="13"/>
                <w:szCs w:val="13"/>
              </w:rPr>
              <w:t>in</w:t>
            </w:r>
            <w:r>
              <w:rPr>
                <w:spacing w:val="1"/>
                <w:w w:val="115"/>
                <w:sz w:val="13"/>
                <w:szCs w:val="13"/>
              </w:rPr>
              <w:t xml:space="preserve"> </w:t>
            </w:r>
            <w:r>
              <w:rPr>
                <w:w w:val="115"/>
                <w:sz w:val="13"/>
                <w:szCs w:val="13"/>
              </w:rPr>
              <w:t xml:space="preserve">materia </w:t>
            </w:r>
            <w:r>
              <w:rPr>
                <w:spacing w:val="1"/>
                <w:w w:val="115"/>
                <w:sz w:val="13"/>
                <w:szCs w:val="13"/>
              </w:rPr>
              <w:t xml:space="preserve"> </w:t>
            </w:r>
            <w:r>
              <w:rPr>
                <w:w w:val="115"/>
                <w:sz w:val="13"/>
                <w:szCs w:val="13"/>
              </w:rPr>
              <w:t>di</w:t>
            </w:r>
            <w:r>
              <w:rPr>
                <w:spacing w:val="-43"/>
                <w:w w:val="115"/>
                <w:sz w:val="13"/>
                <w:szCs w:val="13"/>
              </w:rPr>
              <w:t xml:space="preserve"> </w:t>
            </w:r>
            <w:r>
              <w:rPr>
                <w:w w:val="115"/>
                <w:sz w:val="13"/>
                <w:szCs w:val="13"/>
              </w:rPr>
              <w:t>lavoro</w:t>
            </w:r>
            <w:r>
              <w:rPr>
                <w:spacing w:val="1"/>
                <w:w w:val="115"/>
                <w:sz w:val="13"/>
                <w:szCs w:val="13"/>
              </w:rPr>
              <w:t xml:space="preserve"> </w:t>
            </w:r>
            <w:r>
              <w:rPr>
                <w:w w:val="115"/>
                <w:sz w:val="13"/>
                <w:szCs w:val="13"/>
              </w:rPr>
              <w:t>dei</w:t>
            </w:r>
            <w:r>
              <w:rPr>
                <w:spacing w:val="1"/>
                <w:w w:val="115"/>
                <w:sz w:val="13"/>
                <w:szCs w:val="13"/>
              </w:rPr>
              <w:t xml:space="preserve"> </w:t>
            </w:r>
            <w:r>
              <w:rPr>
                <w:w w:val="115"/>
                <w:sz w:val="13"/>
                <w:szCs w:val="13"/>
              </w:rPr>
              <w:t>disabili.</w:t>
            </w:r>
            <w:r>
              <w:rPr>
                <w:spacing w:val="1"/>
                <w:w w:val="115"/>
                <w:sz w:val="13"/>
                <w:szCs w:val="13"/>
              </w:rPr>
              <w:t xml:space="preserve"> (</w:t>
            </w:r>
            <w:r>
              <w:rPr>
                <w:w w:val="115"/>
                <w:sz w:val="13"/>
                <w:szCs w:val="13"/>
              </w:rPr>
              <w:t>La</w:t>
            </w:r>
            <w:r>
              <w:rPr>
                <w:spacing w:val="1"/>
                <w:w w:val="115"/>
                <w:sz w:val="13"/>
                <w:szCs w:val="13"/>
              </w:rPr>
              <w:t xml:space="preserve"> </w:t>
            </w:r>
            <w:r>
              <w:rPr>
                <w:w w:val="115"/>
                <w:sz w:val="13"/>
                <w:szCs w:val="13"/>
              </w:rPr>
              <w:t>norma</w:t>
            </w:r>
            <w:r>
              <w:rPr>
                <w:spacing w:val="1"/>
                <w:w w:val="115"/>
                <w:sz w:val="13"/>
                <w:szCs w:val="13"/>
              </w:rPr>
              <w:t xml:space="preserve"> </w:t>
            </w:r>
            <w:r>
              <w:rPr>
                <w:w w:val="115"/>
                <w:sz w:val="13"/>
                <w:szCs w:val="13"/>
              </w:rPr>
              <w:t>dispone</w:t>
            </w:r>
            <w:r>
              <w:rPr>
                <w:spacing w:val="1"/>
                <w:w w:val="115"/>
                <w:sz w:val="13"/>
                <w:szCs w:val="13"/>
              </w:rPr>
              <w:t xml:space="preserve"> </w:t>
            </w:r>
            <w:r>
              <w:rPr>
                <w:w w:val="115"/>
                <w:sz w:val="13"/>
                <w:szCs w:val="13"/>
              </w:rPr>
              <w:t>anche</w:t>
            </w:r>
            <w:r>
              <w:rPr>
                <w:spacing w:val="1"/>
                <w:w w:val="115"/>
                <w:sz w:val="13"/>
                <w:szCs w:val="13"/>
              </w:rPr>
              <w:t xml:space="preserve"> </w:t>
            </w:r>
            <w:r>
              <w:rPr>
                <w:w w:val="115"/>
                <w:sz w:val="13"/>
                <w:szCs w:val="13"/>
              </w:rPr>
              <w:t>un</w:t>
            </w:r>
            <w:r>
              <w:rPr>
                <w:spacing w:val="1"/>
                <w:w w:val="115"/>
                <w:sz w:val="13"/>
                <w:szCs w:val="13"/>
              </w:rPr>
              <w:t xml:space="preserve"> </w:t>
            </w:r>
            <w:r>
              <w:rPr>
                <w:w w:val="115"/>
                <w:sz w:val="13"/>
                <w:szCs w:val="13"/>
              </w:rPr>
              <w:t>obbligo</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comunicazione</w:t>
            </w:r>
            <w:r>
              <w:rPr>
                <w:spacing w:val="1"/>
                <w:w w:val="115"/>
                <w:sz w:val="13"/>
                <w:szCs w:val="13"/>
              </w:rPr>
              <w:t xml:space="preserve"> </w:t>
            </w:r>
            <w:r>
              <w:rPr>
                <w:w w:val="115"/>
                <w:sz w:val="13"/>
                <w:szCs w:val="13"/>
              </w:rPr>
              <w:t>dei</w:t>
            </w:r>
            <w:r>
              <w:rPr>
                <w:spacing w:val="1"/>
                <w:w w:val="115"/>
                <w:sz w:val="13"/>
                <w:szCs w:val="13"/>
              </w:rPr>
              <w:t xml:space="preserve"> </w:t>
            </w:r>
            <w:r>
              <w:rPr>
                <w:w w:val="115"/>
                <w:sz w:val="13"/>
                <w:szCs w:val="13"/>
              </w:rPr>
              <w:t>dati</w:t>
            </w:r>
            <w:r>
              <w:rPr>
                <w:spacing w:val="1"/>
                <w:w w:val="115"/>
                <w:sz w:val="13"/>
                <w:szCs w:val="13"/>
              </w:rPr>
              <w:t xml:space="preserve"> </w:t>
            </w:r>
            <w:r>
              <w:rPr>
                <w:w w:val="115"/>
                <w:sz w:val="13"/>
                <w:szCs w:val="13"/>
              </w:rPr>
              <w:t>della</w:t>
            </w:r>
            <w:r>
              <w:rPr>
                <w:spacing w:val="-43"/>
                <w:w w:val="115"/>
                <w:sz w:val="13"/>
                <w:szCs w:val="13"/>
              </w:rPr>
              <w:t xml:space="preserve"> </w:t>
            </w:r>
            <w:r>
              <w:rPr>
                <w:w w:val="115"/>
                <w:sz w:val="13"/>
                <w:szCs w:val="13"/>
              </w:rPr>
              <w:t>relazione</w:t>
            </w:r>
            <w:r>
              <w:rPr>
                <w:spacing w:val="1"/>
                <w:w w:val="115"/>
                <w:sz w:val="13"/>
                <w:szCs w:val="13"/>
              </w:rPr>
              <w:t xml:space="preserve"> </w:t>
            </w:r>
            <w:r>
              <w:rPr>
                <w:w w:val="115"/>
                <w:sz w:val="13"/>
                <w:szCs w:val="13"/>
              </w:rPr>
              <w:t>sulla</w:t>
            </w:r>
            <w:r>
              <w:rPr>
                <w:spacing w:val="1"/>
                <w:w w:val="115"/>
                <w:sz w:val="13"/>
                <w:szCs w:val="13"/>
              </w:rPr>
              <w:t xml:space="preserve"> </w:t>
            </w:r>
            <w:r>
              <w:rPr>
                <w:w w:val="115"/>
                <w:sz w:val="13"/>
                <w:szCs w:val="13"/>
              </w:rPr>
              <w:t>situazione</w:t>
            </w:r>
            <w:r>
              <w:rPr>
                <w:spacing w:val="1"/>
                <w:w w:val="115"/>
                <w:sz w:val="13"/>
                <w:szCs w:val="13"/>
              </w:rPr>
              <w:t xml:space="preserve"> </w:t>
            </w:r>
            <w:r>
              <w:rPr>
                <w:w w:val="115"/>
                <w:sz w:val="13"/>
                <w:szCs w:val="13"/>
              </w:rPr>
              <w:t>del</w:t>
            </w:r>
            <w:r>
              <w:rPr>
                <w:spacing w:val="1"/>
                <w:w w:val="115"/>
                <w:sz w:val="13"/>
                <w:szCs w:val="13"/>
              </w:rPr>
              <w:t xml:space="preserve"> </w:t>
            </w:r>
            <w:r>
              <w:rPr>
                <w:w w:val="115"/>
                <w:sz w:val="13"/>
                <w:szCs w:val="13"/>
              </w:rPr>
              <w:t>personale</w:t>
            </w:r>
            <w:r>
              <w:rPr>
                <w:spacing w:val="1"/>
                <w:w w:val="115"/>
                <w:sz w:val="13"/>
                <w:szCs w:val="13"/>
              </w:rPr>
              <w:t xml:space="preserve"> </w:t>
            </w:r>
            <w:r>
              <w:rPr>
                <w:w w:val="115"/>
                <w:sz w:val="13"/>
                <w:szCs w:val="13"/>
              </w:rPr>
              <w:t>e</w:t>
            </w:r>
            <w:r>
              <w:rPr>
                <w:spacing w:val="1"/>
                <w:w w:val="115"/>
                <w:sz w:val="13"/>
                <w:szCs w:val="13"/>
              </w:rPr>
              <w:t xml:space="preserve"> </w:t>
            </w:r>
            <w:r>
              <w:rPr>
                <w:w w:val="115"/>
                <w:sz w:val="13"/>
                <w:szCs w:val="13"/>
              </w:rPr>
              <w:t>di</w:t>
            </w:r>
            <w:r>
              <w:rPr>
                <w:spacing w:val="1"/>
                <w:w w:val="115"/>
                <w:sz w:val="13"/>
                <w:szCs w:val="13"/>
              </w:rPr>
              <w:t xml:space="preserve"> </w:t>
            </w:r>
            <w:r>
              <w:rPr>
                <w:w w:val="115"/>
                <w:sz w:val="13"/>
                <w:szCs w:val="13"/>
              </w:rPr>
              <w:t>genere</w:t>
            </w:r>
            <w:r>
              <w:rPr>
                <w:spacing w:val="1"/>
                <w:w w:val="115"/>
                <w:sz w:val="13"/>
                <w:szCs w:val="13"/>
              </w:rPr>
              <w:t xml:space="preserve"> </w:t>
            </w:r>
            <w:r>
              <w:rPr>
                <w:w w:val="115"/>
                <w:sz w:val="13"/>
                <w:szCs w:val="13"/>
              </w:rPr>
              <w:t>alla</w:t>
            </w:r>
            <w:r>
              <w:rPr>
                <w:spacing w:val="-43"/>
                <w:w w:val="115"/>
                <w:sz w:val="13"/>
                <w:szCs w:val="13"/>
              </w:rPr>
              <w:t xml:space="preserve"> </w:t>
            </w:r>
            <w:r>
              <w:rPr>
                <w:w w:val="115"/>
                <w:sz w:val="13"/>
                <w:szCs w:val="13"/>
              </w:rPr>
              <w:t>Presidenza</w:t>
            </w:r>
            <w:r>
              <w:rPr>
                <w:spacing w:val="1"/>
                <w:w w:val="115"/>
                <w:sz w:val="13"/>
                <w:szCs w:val="13"/>
              </w:rPr>
              <w:t xml:space="preserve"> </w:t>
            </w:r>
            <w:r>
              <w:rPr>
                <w:w w:val="115"/>
                <w:sz w:val="13"/>
                <w:szCs w:val="13"/>
              </w:rPr>
              <w:t>del</w:t>
            </w:r>
            <w:r>
              <w:rPr>
                <w:spacing w:val="1"/>
                <w:w w:val="115"/>
                <w:sz w:val="13"/>
                <w:szCs w:val="13"/>
              </w:rPr>
              <w:t xml:space="preserve"> </w:t>
            </w:r>
            <w:r>
              <w:rPr>
                <w:w w:val="115"/>
                <w:sz w:val="13"/>
                <w:szCs w:val="13"/>
              </w:rPr>
              <w:t>Consiglio</w:t>
            </w:r>
            <w:r>
              <w:rPr>
                <w:spacing w:val="1"/>
                <w:w w:val="115"/>
                <w:sz w:val="13"/>
                <w:szCs w:val="13"/>
              </w:rPr>
              <w:t xml:space="preserve"> </w:t>
            </w:r>
            <w:r>
              <w:rPr>
                <w:w w:val="115"/>
                <w:sz w:val="13"/>
                <w:szCs w:val="13"/>
              </w:rPr>
              <w:t>dei</w:t>
            </w:r>
            <w:r>
              <w:rPr>
                <w:spacing w:val="1"/>
                <w:w w:val="115"/>
                <w:sz w:val="13"/>
                <w:szCs w:val="13"/>
              </w:rPr>
              <w:t xml:space="preserve"> </w:t>
            </w:r>
            <w:r>
              <w:rPr>
                <w:w w:val="115"/>
                <w:sz w:val="13"/>
                <w:szCs w:val="13"/>
              </w:rPr>
              <w:t>Ministri</w:t>
            </w:r>
            <w:r>
              <w:rPr>
                <w:spacing w:val="1"/>
                <w:w w:val="115"/>
                <w:sz w:val="13"/>
                <w:szCs w:val="13"/>
              </w:rPr>
              <w:t xml:space="preserve"> </w:t>
            </w:r>
            <w:r>
              <w:rPr>
                <w:w w:val="115"/>
                <w:sz w:val="13"/>
                <w:szCs w:val="13"/>
              </w:rPr>
              <w:t>ovvero</w:t>
            </w:r>
            <w:r>
              <w:rPr>
                <w:spacing w:val="1"/>
                <w:w w:val="115"/>
                <w:sz w:val="13"/>
                <w:szCs w:val="13"/>
              </w:rPr>
              <w:t xml:space="preserve"> </w:t>
            </w:r>
            <w:r>
              <w:rPr>
                <w:w w:val="115"/>
                <w:sz w:val="13"/>
                <w:szCs w:val="13"/>
              </w:rPr>
              <w:t>ai</w:t>
            </w:r>
            <w:r>
              <w:rPr>
                <w:spacing w:val="1"/>
                <w:w w:val="115"/>
                <w:sz w:val="13"/>
                <w:szCs w:val="13"/>
              </w:rPr>
              <w:t xml:space="preserve"> </w:t>
            </w:r>
            <w:r>
              <w:rPr>
                <w:w w:val="115"/>
                <w:sz w:val="13"/>
                <w:szCs w:val="13"/>
              </w:rPr>
              <w:t>Ministri  o</w:t>
            </w:r>
            <w:r>
              <w:rPr>
                <w:spacing w:val="1"/>
                <w:w w:val="115"/>
                <w:sz w:val="13"/>
                <w:szCs w:val="13"/>
              </w:rPr>
              <w:t xml:space="preserve"> </w:t>
            </w:r>
            <w:r>
              <w:rPr>
                <w:w w:val="115"/>
                <w:sz w:val="13"/>
                <w:szCs w:val="13"/>
              </w:rPr>
              <w:t>alle</w:t>
            </w:r>
            <w:r>
              <w:rPr>
                <w:spacing w:val="1"/>
                <w:w w:val="115"/>
                <w:sz w:val="13"/>
                <w:szCs w:val="13"/>
              </w:rPr>
              <w:t xml:space="preserve"> </w:t>
            </w:r>
            <w:r>
              <w:rPr>
                <w:w w:val="115"/>
                <w:sz w:val="13"/>
                <w:szCs w:val="13"/>
              </w:rPr>
              <w:t>autorità</w:t>
            </w:r>
            <w:r>
              <w:rPr>
                <w:spacing w:val="1"/>
                <w:w w:val="115"/>
                <w:sz w:val="13"/>
                <w:szCs w:val="13"/>
              </w:rPr>
              <w:t xml:space="preserve"> </w:t>
            </w:r>
            <w:r>
              <w:rPr>
                <w:w w:val="115"/>
                <w:sz w:val="13"/>
                <w:szCs w:val="13"/>
              </w:rPr>
              <w:t>delegate</w:t>
            </w:r>
            <w:r>
              <w:rPr>
                <w:spacing w:val="1"/>
                <w:w w:val="115"/>
                <w:sz w:val="13"/>
                <w:szCs w:val="13"/>
              </w:rPr>
              <w:t xml:space="preserve"> </w:t>
            </w:r>
            <w:r>
              <w:rPr>
                <w:w w:val="115"/>
                <w:sz w:val="13"/>
                <w:szCs w:val="13"/>
              </w:rPr>
              <w:t xml:space="preserve">per </w:t>
            </w:r>
            <w:r>
              <w:rPr>
                <w:spacing w:val="1"/>
                <w:w w:val="115"/>
                <w:sz w:val="13"/>
                <w:szCs w:val="13"/>
              </w:rPr>
              <w:t xml:space="preserve"> </w:t>
            </w:r>
            <w:r>
              <w:rPr>
                <w:w w:val="115"/>
                <w:sz w:val="13"/>
                <w:szCs w:val="13"/>
              </w:rPr>
              <w:t>le</w:t>
            </w:r>
            <w:r>
              <w:rPr>
                <w:spacing w:val="-43"/>
                <w:w w:val="115"/>
                <w:sz w:val="13"/>
                <w:szCs w:val="13"/>
              </w:rPr>
              <w:t xml:space="preserve"> </w:t>
            </w:r>
            <w:r>
              <w:rPr>
                <w:w w:val="115"/>
                <w:sz w:val="13"/>
                <w:szCs w:val="13"/>
              </w:rPr>
              <w:t>pari</w:t>
            </w:r>
            <w:r>
              <w:rPr>
                <w:spacing w:val="1"/>
                <w:w w:val="115"/>
                <w:sz w:val="13"/>
                <w:szCs w:val="13"/>
              </w:rPr>
              <w:t xml:space="preserve"> </w:t>
            </w:r>
            <w:r>
              <w:rPr>
                <w:w w:val="115"/>
                <w:sz w:val="13"/>
                <w:szCs w:val="13"/>
              </w:rPr>
              <w:t>opportunità</w:t>
            </w:r>
            <w:r>
              <w:rPr>
                <w:spacing w:val="1"/>
                <w:w w:val="115"/>
                <w:sz w:val="13"/>
                <w:szCs w:val="13"/>
              </w:rPr>
              <w:t xml:space="preserve"> </w:t>
            </w:r>
            <w:r>
              <w:rPr>
                <w:w w:val="115"/>
                <w:sz w:val="13"/>
                <w:szCs w:val="13"/>
              </w:rPr>
              <w:t xml:space="preserve">e </w:t>
            </w:r>
            <w:r>
              <w:rPr>
                <w:spacing w:val="1"/>
                <w:w w:val="115"/>
                <w:sz w:val="13"/>
                <w:szCs w:val="13"/>
              </w:rPr>
              <w:t xml:space="preserve"> </w:t>
            </w:r>
            <w:r>
              <w:rPr>
                <w:w w:val="115"/>
                <w:sz w:val="13"/>
                <w:szCs w:val="13"/>
              </w:rPr>
              <w:t>della</w:t>
            </w:r>
            <w:r>
              <w:rPr>
                <w:spacing w:val="-43"/>
                <w:w w:val="115"/>
                <w:sz w:val="13"/>
                <w:szCs w:val="13"/>
              </w:rPr>
              <w:t xml:space="preserve"> </w:t>
            </w:r>
            <w:r>
              <w:rPr>
                <w:w w:val="115"/>
                <w:sz w:val="13"/>
                <w:szCs w:val="13"/>
              </w:rPr>
              <w:t>famiglia</w:t>
            </w:r>
            <w:r>
              <w:rPr>
                <w:spacing w:val="1"/>
                <w:w w:val="115"/>
                <w:sz w:val="13"/>
                <w:szCs w:val="13"/>
              </w:rPr>
              <w:t xml:space="preserve"> </w:t>
            </w:r>
            <w:r>
              <w:rPr>
                <w:w w:val="115"/>
                <w:sz w:val="13"/>
                <w:szCs w:val="13"/>
              </w:rPr>
              <w:t>e</w:t>
            </w:r>
            <w:r>
              <w:rPr>
                <w:spacing w:val="1"/>
                <w:w w:val="115"/>
                <w:sz w:val="13"/>
                <w:szCs w:val="13"/>
              </w:rPr>
              <w:t xml:space="preserve"> </w:t>
            </w:r>
            <w:r>
              <w:rPr>
                <w:w w:val="115"/>
                <w:sz w:val="13"/>
                <w:szCs w:val="13"/>
              </w:rPr>
              <w:t>per</w:t>
            </w:r>
            <w:r>
              <w:rPr>
                <w:spacing w:val="1"/>
                <w:w w:val="115"/>
                <w:sz w:val="13"/>
                <w:szCs w:val="13"/>
              </w:rPr>
              <w:t xml:space="preserve"> </w:t>
            </w:r>
            <w:r>
              <w:rPr>
                <w:w w:val="115"/>
                <w:sz w:val="13"/>
                <w:szCs w:val="13"/>
              </w:rPr>
              <w:t>le</w:t>
            </w:r>
            <w:r>
              <w:rPr>
                <w:spacing w:val="1"/>
                <w:w w:val="115"/>
                <w:sz w:val="13"/>
                <w:szCs w:val="13"/>
              </w:rPr>
              <w:t xml:space="preserve"> </w:t>
            </w:r>
            <w:r>
              <w:rPr>
                <w:w w:val="115"/>
                <w:sz w:val="13"/>
                <w:szCs w:val="13"/>
              </w:rPr>
              <w:t>politiche</w:t>
            </w:r>
            <w:r>
              <w:rPr>
                <w:spacing w:val="-43"/>
                <w:w w:val="115"/>
                <w:sz w:val="13"/>
                <w:szCs w:val="13"/>
              </w:rPr>
              <w:t xml:space="preserve"> </w:t>
            </w:r>
            <w:r>
              <w:rPr>
                <w:w w:val="115"/>
                <w:sz w:val="13"/>
                <w:szCs w:val="13"/>
              </w:rPr>
              <w:t>giovanili</w:t>
            </w:r>
            <w:r>
              <w:rPr>
                <w:spacing w:val="1"/>
                <w:w w:val="115"/>
                <w:sz w:val="13"/>
                <w:szCs w:val="13"/>
              </w:rPr>
              <w:t xml:space="preserve"> </w:t>
            </w:r>
            <w:r>
              <w:rPr>
                <w:w w:val="115"/>
                <w:sz w:val="13"/>
                <w:szCs w:val="13"/>
              </w:rPr>
              <w:t>e</w:t>
            </w:r>
            <w:r>
              <w:rPr>
                <w:spacing w:val="1"/>
                <w:w w:val="115"/>
                <w:sz w:val="13"/>
                <w:szCs w:val="13"/>
              </w:rPr>
              <w:t xml:space="preserve"> </w:t>
            </w:r>
            <w:r>
              <w:rPr>
                <w:w w:val="115"/>
                <w:sz w:val="13"/>
                <w:szCs w:val="13"/>
              </w:rPr>
              <w:t>il</w:t>
            </w:r>
            <w:r>
              <w:rPr>
                <w:spacing w:val="1"/>
                <w:w w:val="115"/>
                <w:sz w:val="13"/>
                <w:szCs w:val="13"/>
              </w:rPr>
              <w:t xml:space="preserve"> </w:t>
            </w:r>
            <w:r>
              <w:rPr>
                <w:w w:val="115"/>
                <w:sz w:val="13"/>
                <w:szCs w:val="13"/>
              </w:rPr>
              <w:t>servizio</w:t>
            </w:r>
            <w:r>
              <w:rPr>
                <w:spacing w:val="1"/>
                <w:w w:val="115"/>
                <w:sz w:val="13"/>
                <w:szCs w:val="13"/>
              </w:rPr>
              <w:t xml:space="preserve"> </w:t>
            </w:r>
            <w:r>
              <w:rPr>
                <w:w w:val="115"/>
                <w:sz w:val="13"/>
                <w:szCs w:val="13"/>
              </w:rPr>
              <w:t>civile</w:t>
            </w:r>
            <w:r>
              <w:rPr>
                <w:spacing w:val="1"/>
                <w:w w:val="115"/>
                <w:sz w:val="13"/>
                <w:szCs w:val="13"/>
              </w:rPr>
              <w:t xml:space="preserve"> </w:t>
            </w:r>
            <w:r>
              <w:rPr>
                <w:w w:val="115"/>
                <w:sz w:val="13"/>
                <w:szCs w:val="13"/>
              </w:rPr>
              <w:t>universale,</w:t>
            </w:r>
            <w:r>
              <w:rPr>
                <w:spacing w:val="1"/>
                <w:w w:val="115"/>
                <w:sz w:val="13"/>
                <w:szCs w:val="13"/>
              </w:rPr>
              <w:t xml:space="preserve"> </w:t>
            </w:r>
            <w:r>
              <w:rPr>
                <w:w w:val="115"/>
                <w:sz w:val="13"/>
                <w:szCs w:val="13"/>
              </w:rPr>
              <w:t>mentre</w:t>
            </w:r>
            <w:r>
              <w:rPr>
                <w:spacing w:val="1"/>
                <w:w w:val="115"/>
                <w:sz w:val="13"/>
                <w:szCs w:val="13"/>
              </w:rPr>
              <w:t xml:space="preserve"> </w:t>
            </w:r>
            <w:r>
              <w:rPr>
                <w:w w:val="115"/>
                <w:sz w:val="13"/>
                <w:szCs w:val="13"/>
              </w:rPr>
              <w:t>per</w:t>
            </w:r>
            <w:r>
              <w:rPr>
                <w:spacing w:val="1"/>
                <w:w w:val="115"/>
                <w:sz w:val="13"/>
                <w:szCs w:val="13"/>
              </w:rPr>
              <w:t xml:space="preserve"> </w:t>
            </w:r>
            <w:r>
              <w:rPr>
                <w:w w:val="115"/>
                <w:sz w:val="13"/>
                <w:szCs w:val="13"/>
              </w:rPr>
              <w:t>la</w:t>
            </w:r>
            <w:r>
              <w:rPr>
                <w:spacing w:val="1"/>
                <w:w w:val="115"/>
                <w:sz w:val="13"/>
                <w:szCs w:val="13"/>
              </w:rPr>
              <w:t xml:space="preserve"> </w:t>
            </w:r>
            <w:r>
              <w:rPr>
                <w:w w:val="115"/>
                <w:sz w:val="13"/>
                <w:szCs w:val="13"/>
              </w:rPr>
              <w:t>certificazione</w:t>
            </w:r>
            <w:r>
              <w:rPr>
                <w:spacing w:val="1"/>
                <w:w w:val="115"/>
                <w:sz w:val="13"/>
                <w:szCs w:val="13"/>
              </w:rPr>
              <w:t xml:space="preserve"> </w:t>
            </w:r>
            <w:r>
              <w:rPr>
                <w:w w:val="115"/>
                <w:sz w:val="13"/>
                <w:szCs w:val="13"/>
              </w:rPr>
              <w:t>sull’attuazione</w:t>
            </w:r>
            <w:r>
              <w:rPr>
                <w:spacing w:val="1"/>
                <w:w w:val="115"/>
                <w:sz w:val="13"/>
                <w:szCs w:val="13"/>
              </w:rPr>
              <w:t xml:space="preserve"> </w:t>
            </w:r>
            <w:r>
              <w:rPr>
                <w:w w:val="115"/>
                <w:sz w:val="13"/>
                <w:szCs w:val="13"/>
              </w:rPr>
              <w:t>delle</w:t>
            </w:r>
            <w:r>
              <w:rPr>
                <w:spacing w:val="1"/>
                <w:w w:val="115"/>
                <w:sz w:val="13"/>
                <w:szCs w:val="13"/>
              </w:rPr>
              <w:t xml:space="preserve"> </w:t>
            </w:r>
            <w:r>
              <w:rPr>
                <w:w w:val="115"/>
                <w:sz w:val="13"/>
                <w:szCs w:val="13"/>
              </w:rPr>
              <w:t>norme</w:t>
            </w:r>
            <w:r>
              <w:rPr>
                <w:spacing w:val="1"/>
                <w:w w:val="115"/>
                <w:sz w:val="13"/>
                <w:szCs w:val="13"/>
              </w:rPr>
              <w:t xml:space="preserve"> </w:t>
            </w:r>
            <w:r>
              <w:rPr>
                <w:w w:val="115"/>
                <w:sz w:val="13"/>
                <w:szCs w:val="13"/>
              </w:rPr>
              <w:t>in</w:t>
            </w:r>
            <w:r>
              <w:rPr>
                <w:spacing w:val="1"/>
                <w:w w:val="115"/>
                <w:sz w:val="13"/>
                <w:szCs w:val="13"/>
              </w:rPr>
              <w:t xml:space="preserve"> </w:t>
            </w:r>
            <w:r>
              <w:rPr>
                <w:w w:val="115"/>
                <w:sz w:val="13"/>
                <w:szCs w:val="13"/>
              </w:rPr>
              <w:t xml:space="preserve">materia </w:t>
            </w:r>
            <w:r>
              <w:rPr>
                <w:spacing w:val="1"/>
                <w:w w:val="115"/>
                <w:sz w:val="13"/>
                <w:szCs w:val="13"/>
              </w:rPr>
              <w:t xml:space="preserve"> </w:t>
            </w:r>
            <w:r>
              <w:rPr>
                <w:w w:val="115"/>
                <w:sz w:val="13"/>
                <w:szCs w:val="13"/>
              </w:rPr>
              <w:t>di</w:t>
            </w:r>
            <w:r>
              <w:rPr>
                <w:spacing w:val="-43"/>
                <w:w w:val="115"/>
                <w:sz w:val="13"/>
                <w:szCs w:val="13"/>
              </w:rPr>
              <w:t xml:space="preserve"> </w:t>
            </w:r>
            <w:r>
              <w:rPr>
                <w:w w:val="115"/>
                <w:sz w:val="13"/>
                <w:szCs w:val="13"/>
              </w:rPr>
              <w:t>lavoro</w:t>
            </w:r>
            <w:r>
              <w:rPr>
                <w:spacing w:val="1"/>
                <w:w w:val="115"/>
                <w:sz w:val="13"/>
                <w:szCs w:val="13"/>
              </w:rPr>
              <w:t xml:space="preserve"> </w:t>
            </w:r>
            <w:r>
              <w:rPr>
                <w:w w:val="115"/>
                <w:sz w:val="13"/>
                <w:szCs w:val="13"/>
              </w:rPr>
              <w:t>dei</w:t>
            </w:r>
            <w:r>
              <w:rPr>
                <w:spacing w:val="1"/>
                <w:w w:val="115"/>
                <w:sz w:val="13"/>
                <w:szCs w:val="13"/>
              </w:rPr>
              <w:t xml:space="preserve"> </w:t>
            </w:r>
            <w:r>
              <w:rPr>
                <w:w w:val="115"/>
                <w:sz w:val="13"/>
                <w:szCs w:val="13"/>
              </w:rPr>
              <w:t>disabili</w:t>
            </w:r>
            <w:r>
              <w:rPr>
                <w:spacing w:val="1"/>
                <w:w w:val="115"/>
                <w:sz w:val="13"/>
                <w:szCs w:val="13"/>
              </w:rPr>
              <w:t xml:space="preserve"> </w:t>
            </w:r>
            <w:r>
              <w:rPr>
                <w:w w:val="115"/>
                <w:sz w:val="13"/>
                <w:szCs w:val="13"/>
              </w:rPr>
              <w:t>e</w:t>
            </w:r>
            <w:r>
              <w:rPr>
                <w:spacing w:val="1"/>
                <w:w w:val="115"/>
                <w:sz w:val="13"/>
                <w:szCs w:val="13"/>
              </w:rPr>
              <w:t xml:space="preserve"> </w:t>
            </w:r>
            <w:r>
              <w:rPr>
                <w:w w:val="115"/>
                <w:sz w:val="13"/>
                <w:szCs w:val="13"/>
              </w:rPr>
              <w:t>relativa</w:t>
            </w:r>
            <w:r>
              <w:rPr>
                <w:spacing w:val="1"/>
                <w:w w:val="115"/>
                <w:sz w:val="13"/>
                <w:szCs w:val="13"/>
              </w:rPr>
              <w:t xml:space="preserve"> </w:t>
            </w:r>
            <w:r>
              <w:rPr>
                <w:w w:val="115"/>
                <w:sz w:val="13"/>
                <w:szCs w:val="13"/>
              </w:rPr>
              <w:t>relazione</w:t>
            </w:r>
            <w:r>
              <w:rPr>
                <w:spacing w:val="1"/>
                <w:w w:val="115"/>
                <w:sz w:val="13"/>
                <w:szCs w:val="13"/>
              </w:rPr>
              <w:t xml:space="preserve"> </w:t>
            </w:r>
            <w:r>
              <w:rPr>
                <w:w w:val="115"/>
                <w:sz w:val="13"/>
                <w:szCs w:val="13"/>
              </w:rPr>
              <w:t>la</w:t>
            </w:r>
            <w:r>
              <w:rPr>
                <w:spacing w:val="1"/>
                <w:w w:val="115"/>
                <w:sz w:val="13"/>
                <w:szCs w:val="13"/>
              </w:rPr>
              <w:t xml:space="preserve"> </w:t>
            </w:r>
            <w:r>
              <w:rPr>
                <w:w w:val="115"/>
                <w:sz w:val="13"/>
                <w:szCs w:val="13"/>
              </w:rPr>
              <w:t>trasmissione</w:t>
            </w:r>
            <w:r>
              <w:rPr>
                <w:spacing w:val="1"/>
                <w:w w:val="115"/>
                <w:sz w:val="13"/>
                <w:szCs w:val="13"/>
              </w:rPr>
              <w:t xml:space="preserve"> </w:t>
            </w:r>
            <w:r>
              <w:rPr>
                <w:w w:val="115"/>
                <w:sz w:val="13"/>
                <w:szCs w:val="13"/>
              </w:rPr>
              <w:t>alle</w:t>
            </w:r>
            <w:r>
              <w:rPr>
                <w:spacing w:val="1"/>
                <w:w w:val="115"/>
                <w:sz w:val="13"/>
                <w:szCs w:val="13"/>
              </w:rPr>
              <w:t xml:space="preserve"> </w:t>
            </w:r>
            <w:r>
              <w:rPr>
                <w:w w:val="115"/>
                <w:sz w:val="13"/>
                <w:szCs w:val="13"/>
              </w:rPr>
              <w:t>rappresentanze</w:t>
              <w:tab/>
              <w:tab/>
              <w:t>sindacali</w:t>
            </w:r>
            <w:r>
              <w:rPr>
                <w:spacing w:val="-44"/>
                <w:w w:val="115"/>
                <w:sz w:val="13"/>
                <w:szCs w:val="13"/>
              </w:rPr>
              <w:t xml:space="preserve"> </w:t>
            </w:r>
            <w:r>
              <w:rPr>
                <w:w w:val="115"/>
                <w:sz w:val="13"/>
                <w:szCs w:val="13"/>
              </w:rPr>
              <w:t>aziendali.</w:t>
            </w:r>
            <w:r>
              <w:rPr>
                <w:w w:val="120"/>
                <w:sz w:val="13"/>
                <w:szCs w:val="13"/>
              </w:rPr>
              <w:t>)</w:t>
            </w:r>
          </w:p>
        </w:tc>
        <w:tc>
          <w:tcPr>
            <w:tcW w:w="1134" w:type="dxa"/>
            <w:tcBorders/>
            <w:vAlign w:val="center"/>
          </w:tcPr>
          <w:p>
            <w:pPr>
              <w:pStyle w:val="Intestazione"/>
              <w:jc w:val="center"/>
              <w:rPr/>
            </w:pPr>
            <w:r>
              <w:rPr/>
            </w:r>
          </w:p>
          <w:p>
            <w:pPr>
              <w:pStyle w:val="Normal"/>
              <w:rPr/>
            </w:pPr>
            <w:r>
              <w:rPr/>
            </w:r>
          </w:p>
          <w:p>
            <w:pPr>
              <w:pStyle w:val="Normal"/>
              <w:rPr/>
            </w:pPr>
            <w:r>
              <w:rPr/>
            </w:r>
          </w:p>
          <w:p>
            <w:pPr>
              <w:pStyle w:val="Normal"/>
              <w:jc w:val="center"/>
              <w:rPr/>
            </w:pPr>
            <w:r>
              <w:rPr/>
              <w:t>Tempestivo</w:t>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restart"/>
            <w:tcBorders>
              <w:bottom w:val="nil"/>
            </w:tcBorders>
            <w:vAlign w:val="center"/>
          </w:tcPr>
          <w:p>
            <w:pPr>
              <w:pStyle w:val="Intestazione"/>
              <w:jc w:val="center"/>
              <w:rPr>
                <w:rFonts w:ascii="Berlin Sans FB Demi" w:hAnsi="Berlin Sans FB Demi"/>
                <w:b/>
                <w:b/>
              </w:rPr>
            </w:pPr>
            <w:r>
              <w:rPr>
                <w:rFonts w:ascii="Berlin Sans FB Demi" w:hAnsi="Berlin Sans FB Demi"/>
                <w:b/>
              </w:rPr>
              <w:t>Bandi di gara</w:t>
            </w:r>
          </w:p>
          <w:p>
            <w:pPr>
              <w:pStyle w:val="Intestazione"/>
              <w:jc w:val="center"/>
              <w:rPr>
                <w:b/>
                <w:b/>
              </w:rPr>
            </w:pPr>
            <w:r>
              <w:rPr>
                <w:rFonts w:ascii="Berlin Sans FB Demi" w:hAnsi="Berlin Sans FB Demi"/>
                <w:b/>
              </w:rPr>
              <w:t>e contratti</w:t>
            </w:r>
          </w:p>
        </w:tc>
        <w:tc>
          <w:tcPr>
            <w:tcW w:w="1701" w:type="dxa"/>
            <w:vMerge w:val="restart"/>
            <w:tcBorders>
              <w:bottom w:val="nil"/>
            </w:tcBorders>
            <w:vAlign w:val="center"/>
          </w:tcPr>
          <w:p>
            <w:pPr>
              <w:pStyle w:val="Intestazione"/>
              <w:jc w:val="center"/>
              <w:rPr>
                <w:b/>
                <w:b/>
              </w:rPr>
            </w:pPr>
            <w:r>
              <w:rPr>
                <w:b/>
              </w:rPr>
              <w:t>Atti delle amministrazioni aggiudicatrici e degli enti aggiudicatori distintamente per ogni procedura</w:t>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lang w:val="en-GB"/>
              </w:rPr>
            </w:pPr>
            <w:r>
              <w:rPr>
                <w:lang w:val="en-GB"/>
              </w:rPr>
              <w:t xml:space="preserve"> </w:t>
            </w:r>
            <w:r>
              <w:rPr>
                <w:lang w:val="en-GB"/>
              </w:rPr>
              <w:t>d.lgs. n. 50/2016</w:t>
            </w:r>
          </w:p>
        </w:tc>
        <w:tc>
          <w:tcPr>
            <w:tcW w:w="2268" w:type="dxa"/>
            <w:vMerge w:val="restart"/>
            <w:tcBorders/>
            <w:vAlign w:val="center"/>
          </w:tcPr>
          <w:p>
            <w:pPr>
              <w:pStyle w:val="Intestazione"/>
              <w:jc w:val="center"/>
              <w:rPr/>
            </w:pPr>
            <w:r>
              <w:rPr/>
              <w:t>Atti relativi alle procedure per l’affidamento di appalti pubblici di servizi, forniture, lavori e opere, di concorsi pubblici di progettazione, di concorsi di idee e di concessioni. Compresi quelli tra enti nell'mabito del settore pubblico di cui all'art. 5 del dlgs n. 50/2016</w:t>
            </w:r>
          </w:p>
        </w:tc>
        <w:tc>
          <w:tcPr>
            <w:tcW w:w="5670" w:type="dxa"/>
            <w:tcBorders/>
            <w:vAlign w:val="center"/>
          </w:tcPr>
          <w:p>
            <w:pPr>
              <w:pStyle w:val="Intestazione"/>
              <w:jc w:val="both"/>
              <w:rPr>
                <w:b/>
                <w:b/>
              </w:rPr>
            </w:pPr>
            <w:r>
              <w:rPr>
                <w:b/>
              </w:rPr>
              <w:t xml:space="preserve">Avvisi e bandi - </w:t>
            </w:r>
          </w:p>
          <w:p>
            <w:pPr>
              <w:pStyle w:val="Intestazione"/>
              <w:jc w:val="both"/>
              <w:rPr/>
            </w:pPr>
            <w:r>
              <w:rPr/>
              <w:t xml:space="preserve">Avviso (art. 19, c. 1, dlgs n. 50/2016); </w:t>
            </w:r>
          </w:p>
          <w:p>
            <w:pPr>
              <w:pStyle w:val="Intestazione"/>
              <w:jc w:val="both"/>
              <w:rPr/>
            </w:pPr>
            <w:r>
              <w:rPr/>
              <w:t xml:space="preserve">Avviso di indagini di mercato (art. 36, c. 7,  dlgs n. 50/2016 e Linee guida ANAC); </w:t>
            </w:r>
          </w:p>
          <w:p>
            <w:pPr>
              <w:pStyle w:val="Intestazione"/>
              <w:jc w:val="both"/>
              <w:rPr/>
            </w:pPr>
            <w:r>
              <w:rPr/>
              <w:t xml:space="preserve">Avviso di formazione elenco operatori economici e pubblicazione elenco (art. 36, c. 7, dlgs n. 50/2016 e Linee guida ANAC); </w:t>
            </w:r>
          </w:p>
          <w:p>
            <w:pPr>
              <w:pStyle w:val="Intestazione"/>
              <w:jc w:val="both"/>
              <w:rPr/>
            </w:pPr>
            <w:r>
              <w:rPr/>
              <w:t xml:space="preserve">Bandi ed avvisi (art. 36, c. 9, dlgs n. 50/2016); </w:t>
            </w:r>
          </w:p>
          <w:p>
            <w:pPr>
              <w:pStyle w:val="Intestazione"/>
              <w:jc w:val="both"/>
              <w:rPr/>
            </w:pPr>
            <w:r>
              <w:rPr/>
              <w:t xml:space="preserve">Bandi ed avvisi  (art. 73, c. 1, e 4, dlgs n. 50/2016); </w:t>
            </w:r>
          </w:p>
          <w:p>
            <w:pPr>
              <w:pStyle w:val="Intestazione"/>
              <w:jc w:val="both"/>
              <w:rPr/>
            </w:pPr>
            <w:r>
              <w:rPr/>
              <w:t xml:space="preserve">Bandi ed avvisi (art. 127, c. 1, dlgs n. 50/2016); </w:t>
            </w:r>
          </w:p>
          <w:p>
            <w:pPr>
              <w:pStyle w:val="Intestazione"/>
              <w:jc w:val="both"/>
              <w:rPr/>
            </w:pPr>
            <w:r>
              <w:rPr/>
              <w:t xml:space="preserve">Avviso periodico indicativo (art. 127, c. 2, dlgs n. 50/2016); </w:t>
            </w:r>
          </w:p>
          <w:p>
            <w:pPr>
              <w:pStyle w:val="Intestazione"/>
              <w:jc w:val="both"/>
              <w:rPr/>
            </w:pPr>
            <w:r>
              <w:rPr/>
              <w:t xml:space="preserve">Avviso relativo all’esito della procedura; Pubblicazione a livello nazionale di bandi e avvisi; </w:t>
            </w:r>
          </w:p>
          <w:p>
            <w:pPr>
              <w:pStyle w:val="Intestazione"/>
              <w:jc w:val="both"/>
              <w:rPr/>
            </w:pPr>
            <w:r>
              <w:rPr/>
              <w:t xml:space="preserve">Bando di concorso (art. 153, c. 1, dlgs n. 50/2016); </w:t>
            </w:r>
          </w:p>
          <w:p>
            <w:pPr>
              <w:pStyle w:val="Intestazione"/>
              <w:jc w:val="both"/>
              <w:rPr/>
            </w:pPr>
            <w:r>
              <w:rPr/>
              <w:t xml:space="preserve">Avviso di aggiudicazione (art. 153, c. 2, dlgs n. 50/2016); </w:t>
            </w:r>
          </w:p>
          <w:p>
            <w:pPr>
              <w:pStyle w:val="Intestazione"/>
              <w:jc w:val="both"/>
              <w:rPr/>
            </w:pPr>
            <w:r>
              <w:rPr/>
              <w:t xml:space="preserve">Bando di concessione, invito a presentare offerta, documenti di gara (art. 171, c. 1 e 5, dlgs n. 50/2016); Avviso in merito alla modifica dell’ordine di importanza dei criteri, Bando di concessione  (art. 173, c. 3, dlgs n. 50/2016); </w:t>
            </w:r>
          </w:p>
          <w:p>
            <w:pPr>
              <w:pStyle w:val="Intestazione"/>
              <w:jc w:val="both"/>
              <w:rPr/>
            </w:pPr>
            <w:r>
              <w:rPr/>
              <w:t xml:space="preserve">Bando di gara (art. 183, c. 2, dlgs n. 50/2016); </w:t>
            </w:r>
          </w:p>
          <w:p>
            <w:pPr>
              <w:pStyle w:val="Intestazione"/>
              <w:jc w:val="both"/>
              <w:rPr/>
            </w:pPr>
            <w:r>
              <w:rPr/>
              <w:t xml:space="preserve">Avviso costituzione del privilegio (art. 186, c. 3, dlgs n. 50/2016); </w:t>
            </w:r>
          </w:p>
          <w:p>
            <w:pPr>
              <w:pStyle w:val="Intestazione"/>
              <w:jc w:val="both"/>
              <w:rPr/>
            </w:pPr>
            <w:r>
              <w:rPr/>
              <w:t>Bando di gara (art. 188, c. 3, dlgs n. 50/2016)</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b/>
                <w:b/>
              </w:rPr>
            </w:pPr>
            <w:r>
              <w:rPr>
                <w:b/>
              </w:rPr>
            </w:r>
          </w:p>
        </w:tc>
        <w:tc>
          <w:tcPr>
            <w:tcW w:w="1701" w:type="dxa"/>
            <w:vMerge w:val="continue"/>
            <w:tcBorders>
              <w:bottom w:val="nil"/>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lang w:val="en-GB"/>
              </w:rPr>
            </w:pPr>
            <w:r>
              <w:rPr>
                <w:lang w:val="en-GB"/>
              </w:rPr>
              <w:t xml:space="preserve"> </w:t>
            </w:r>
            <w:r>
              <w:rPr>
                <w:lang w:val="en-GB"/>
              </w:rPr>
              <w:t>d.lgs. n. 50/2016 art. 37, c. 1, lett. b) d.lgs. n. 33/2013 e art. 29, c. 1</w:t>
            </w:r>
          </w:p>
          <w:p>
            <w:pPr>
              <w:pStyle w:val="Intestazione"/>
              <w:jc w:val="center"/>
              <w:rPr/>
            </w:pPr>
            <w:r>
              <w:rPr>
                <w:lang w:val="en-GB"/>
              </w:rPr>
              <w:t xml:space="preserve"> </w:t>
            </w:r>
            <w:r>
              <w:rPr>
                <w:lang w:val="en-GB"/>
              </w:rPr>
              <w:t>d.lgs. n. 50/2016</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b/>
                <w:b/>
              </w:rPr>
            </w:pPr>
            <w:r>
              <w:rPr>
                <w:b/>
              </w:rPr>
              <w:t xml:space="preserve">Avviso sui risultati della procedura di affidamento - </w:t>
            </w:r>
          </w:p>
          <w:p>
            <w:pPr>
              <w:pStyle w:val="Intestazione"/>
              <w:jc w:val="both"/>
              <w:rPr/>
            </w:pPr>
            <w:r>
              <w:rPr/>
              <w:t>Avviso sui risultati della procedura di affidamento con indicazione dei soggetti invitati (art. 36, c. 2, dlgs n. 50/2016); Bando di concorso e avviso sui risultati del concorso (art. 141, dlgs n. 50/2016); Avvisi relativi l’esito della procedura, possono essere raggruppati su base trimestrale (art. 142, c. 3, dlgs n. 50/2016); Elenchi dei verbali delle commissioni di gara</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b/>
                <w:b/>
              </w:rPr>
            </w:pPr>
            <w:r>
              <w:rPr>
                <w:b/>
              </w:rPr>
            </w:r>
          </w:p>
        </w:tc>
        <w:tc>
          <w:tcPr>
            <w:tcW w:w="1701" w:type="dxa"/>
            <w:vMerge w:val="continue"/>
            <w:tcBorders>
              <w:bottom w:val="nil"/>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pPr>
            <w:r>
              <w:rPr>
                <w:lang w:val="en-GB"/>
              </w:rPr>
              <w:t xml:space="preserve"> </w:t>
            </w:r>
            <w:r>
              <w:rPr>
                <w:lang w:val="en-GB"/>
              </w:rPr>
              <w:t>d.lgs. n. 50/2016</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b/>
                <w:b/>
              </w:rPr>
            </w:pPr>
            <w:r>
              <w:rPr>
                <w:b/>
              </w:rPr>
              <w:t xml:space="preserve">Avvisi sistema di qualificazione - </w:t>
            </w:r>
          </w:p>
          <w:p>
            <w:pPr>
              <w:pStyle w:val="Intestazione"/>
              <w:jc w:val="both"/>
              <w:rPr/>
            </w:pPr>
            <w:r>
              <w:rPr/>
              <w:t>Avviso sull’esistenza di un sistema di qualificazione, di cui all’Allegato XIV, parte II, lettera H; Bandi, avviso periodico indicativo; avviso sull’esistenza di un sistema di qualificazione; Avviso di aggiudicazione (art. 140, c. 1, 3 e 4, dlgs n. 50/2016)</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b/>
                <w:b/>
              </w:rPr>
            </w:pPr>
            <w:r>
              <w:rPr>
                <w:b/>
              </w:rPr>
            </w:r>
          </w:p>
        </w:tc>
        <w:tc>
          <w:tcPr>
            <w:tcW w:w="1701" w:type="dxa"/>
            <w:vMerge w:val="continue"/>
            <w:tcBorders>
              <w:bottom w:val="nil"/>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pPr>
            <w:r>
              <w:rPr>
                <w:lang w:val="en-GB"/>
              </w:rPr>
              <w:t xml:space="preserve"> </w:t>
            </w:r>
            <w:r>
              <w:rPr>
                <w:lang w:val="en-GB"/>
              </w:rPr>
              <w:t>d.lgs. n. 50/2016</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b/>
                <w:b/>
              </w:rPr>
            </w:pPr>
            <w:r>
              <w:rPr>
                <w:b/>
              </w:rPr>
              <w:t xml:space="preserve">Affidamenti </w:t>
            </w:r>
          </w:p>
          <w:p>
            <w:pPr>
              <w:pStyle w:val="Intestazione"/>
              <w:jc w:val="both"/>
              <w:rPr/>
            </w:pPr>
            <w:r>
              <w:rPr/>
              <w:t>Gli atti relativi agli affidamenti diretti di lavori, servizi e forniture di somma urgenza e di protezione civile, con specifica dell'affidatario, delle modalità della scelta e delle motivazioni che non hanno consentito il ricorso alle procedure ordinarie (art. 163, c. 10, dlgs n. 50/2016); tutti gli atti connessi agli affidamenti in house in formato open data di appalti pubblici e contratti di concessione tra enti  (art. 192 c. 3, dlgs n. 50/2016)</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b/>
                <w:b/>
              </w:rPr>
            </w:pPr>
            <w:r>
              <w:rPr>
                <w:b/>
              </w:rPr>
            </w:r>
          </w:p>
        </w:tc>
        <w:tc>
          <w:tcPr>
            <w:tcW w:w="1701" w:type="dxa"/>
            <w:vMerge w:val="continue"/>
            <w:tcBorders>
              <w:bottom w:val="nil"/>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pPr>
            <w:r>
              <w:rPr>
                <w:lang w:val="en-GB"/>
              </w:rPr>
              <w:t xml:space="preserve"> </w:t>
            </w:r>
            <w:r>
              <w:rPr>
                <w:lang w:val="en-GB"/>
              </w:rPr>
              <w:t>d.lgs. n. 50/2016</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b/>
                <w:b/>
              </w:rPr>
            </w:pPr>
            <w:r>
              <w:rPr>
                <w:b/>
              </w:rPr>
              <w:t xml:space="preserve">Informazioni ulteriori - </w:t>
            </w:r>
          </w:p>
          <w:p>
            <w:pPr>
              <w:pStyle w:val="Intestazione"/>
              <w:jc w:val="both"/>
              <w:rPr/>
            </w:pPr>
            <w:r>
              <w:rPr/>
              <w:t>Contributi e resoconti degli incontri con portatori di interessi unitamente ai progetti di fattibilità di grandi opere e ai documenti predisposti dalla stazione appaltante (art. 22, c. 1, dlgs n. 50/2016); Informazioni ulteriori, complementari o aggiuntive rispetto a quelle previste dal Codice; Elenco ufficiali operatori economici (art. 90, c. 10, dlgs n. 50/2016)</w:t>
            </w:r>
          </w:p>
        </w:tc>
        <w:tc>
          <w:tcPr>
            <w:tcW w:w="1134" w:type="dxa"/>
            <w:tcBorders/>
            <w:vAlign w:val="center"/>
          </w:tcPr>
          <w:p>
            <w:pPr>
              <w:pStyle w:val="Intestazione"/>
              <w:jc w:val="center"/>
              <w:rPr>
                <w:kern w:val="0"/>
              </w:rPr>
            </w:pPr>
            <w:r>
              <w:rPr>
                <w:kern w:val="0"/>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b/>
                <w:b/>
              </w:rPr>
            </w:pPr>
            <w:r>
              <w:rPr>
                <w:b/>
              </w:rPr>
            </w:r>
          </w:p>
        </w:tc>
        <w:tc>
          <w:tcPr>
            <w:tcW w:w="1701" w:type="dxa"/>
            <w:vMerge w:val="continue"/>
            <w:tcBorders>
              <w:bottom w:val="nil"/>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37, c. 1, lett. b) d.lgs. n. 33/2013 e art. 29, c. 1</w:t>
            </w:r>
          </w:p>
          <w:p>
            <w:pPr>
              <w:pStyle w:val="Intestazione"/>
              <w:jc w:val="center"/>
              <w:rPr/>
            </w:pPr>
            <w:r>
              <w:rPr>
                <w:lang w:val="en-GB"/>
              </w:rPr>
              <w:t xml:space="preserve"> </w:t>
            </w:r>
            <w:r>
              <w:rPr>
                <w:lang w:val="en-GB"/>
              </w:rPr>
              <w:t>d.lgs. n. 50/2016</w:t>
            </w:r>
          </w:p>
        </w:tc>
        <w:tc>
          <w:tcPr>
            <w:tcW w:w="2268" w:type="dxa"/>
            <w:tcBorders/>
            <w:vAlign w:val="center"/>
          </w:tcPr>
          <w:p>
            <w:pPr>
              <w:pStyle w:val="Normal"/>
              <w:jc w:val="center"/>
              <w:rPr/>
            </w:pPr>
            <w:r>
              <w:rPr/>
              <w:t>Provvedimento che determina le esclusioni dalla procedura di affidamento e le ammissioni all'esito delle valutazioni dei requisiti soggettivi, economico finanziari e tecnico-professionali.</w:t>
            </w:r>
          </w:p>
        </w:tc>
        <w:tc>
          <w:tcPr>
            <w:tcW w:w="5670" w:type="dxa"/>
            <w:tcBorders/>
            <w:vAlign w:val="center"/>
          </w:tcPr>
          <w:p>
            <w:pPr>
              <w:pStyle w:val="Normal"/>
              <w:jc w:val="center"/>
              <w:rPr/>
            </w:pPr>
            <w:r>
              <w:rPr/>
              <w:t>Provvedimenti di esclusione e di ammissione (entro 2 giorni dalla loro adozione)</w:t>
            </w:r>
          </w:p>
        </w:tc>
        <w:tc>
          <w:tcPr>
            <w:tcW w:w="1134" w:type="dxa"/>
            <w:tcBorders/>
            <w:vAlign w:val="center"/>
          </w:tcPr>
          <w:p>
            <w:pPr>
              <w:pStyle w:val="Normal"/>
              <w:jc w:val="center"/>
              <w:rPr/>
            </w:pPr>
            <w:r>
              <w:rPr>
                <w:kern w:val="0"/>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bottom w:val="nil"/>
            </w:tcBorders>
            <w:vAlign w:val="center"/>
          </w:tcPr>
          <w:p>
            <w:pPr>
              <w:pStyle w:val="Intestazione"/>
              <w:jc w:val="center"/>
              <w:rPr>
                <w:b/>
                <w:b/>
              </w:rPr>
            </w:pPr>
            <w:r>
              <w:rPr>
                <w:b/>
              </w:rPr>
            </w:r>
          </w:p>
        </w:tc>
        <w:tc>
          <w:tcPr>
            <w:tcW w:w="1701" w:type="dxa"/>
            <w:vMerge w:val="continue"/>
            <w:tcBorders>
              <w:bottom w:val="nil"/>
            </w:tcBorders>
            <w:vAlign w:val="center"/>
          </w:tcPr>
          <w:p>
            <w:pPr>
              <w:pStyle w:val="Intestazione"/>
              <w:jc w:val="center"/>
              <w:rPr>
                <w:b/>
                <w:b/>
              </w:rPr>
            </w:pPr>
            <w:r>
              <w:rPr>
                <w:b/>
              </w:rPr>
            </w:r>
          </w:p>
        </w:tc>
        <w:tc>
          <w:tcPr>
            <w:tcW w:w="1134" w:type="dxa"/>
            <w:tcBorders/>
          </w:tcPr>
          <w:p>
            <w:pPr>
              <w:pStyle w:val="Normal"/>
              <w:rPr>
                <w:lang w:val="en-GB"/>
              </w:rPr>
            </w:pPr>
            <w:r>
              <w:rPr>
                <w:lang w:val="en-GB"/>
              </w:rPr>
              <w:t xml:space="preserve">Art. 37, c. 1, lett. b) d.lgs. n. 33/2013 e art. 29, c. 1, d.lgs. n. 50/2016  </w:t>
            </w:r>
          </w:p>
        </w:tc>
        <w:tc>
          <w:tcPr>
            <w:tcW w:w="2268" w:type="dxa"/>
            <w:tcBorders/>
            <w:vAlign w:val="center"/>
          </w:tcPr>
          <w:p>
            <w:pPr>
              <w:pStyle w:val="Normal"/>
              <w:jc w:val="center"/>
              <w:rPr/>
            </w:pPr>
            <w:r>
              <w:rPr/>
              <w:t>Composizione della commissione giudicatrice e i curricula dei suoi componenti.</w:t>
            </w:r>
          </w:p>
        </w:tc>
        <w:tc>
          <w:tcPr>
            <w:tcW w:w="5670" w:type="dxa"/>
            <w:tcBorders/>
            <w:vAlign w:val="center"/>
          </w:tcPr>
          <w:p>
            <w:pPr>
              <w:pStyle w:val="Normal"/>
              <w:jc w:val="center"/>
              <w:rPr/>
            </w:pPr>
            <w:r>
              <w:rPr/>
              <w:t>Composizione della commissione giudicatrice e i curricula dei suoi componenti.</w:t>
            </w:r>
          </w:p>
        </w:tc>
        <w:tc>
          <w:tcPr>
            <w:tcW w:w="1134" w:type="dxa"/>
            <w:tcBorders/>
            <w:vAlign w:val="center"/>
          </w:tcPr>
          <w:p>
            <w:pPr>
              <w:pStyle w:val="Normal"/>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Bandi di gara</w:t>
            </w:r>
          </w:p>
          <w:p>
            <w:pPr>
              <w:pStyle w:val="Intestazione"/>
              <w:jc w:val="center"/>
              <w:rPr>
                <w:rFonts w:ascii="Berlin Sans FB Demi" w:hAnsi="Berlin Sans FB Demi"/>
                <w:b/>
                <w:b/>
              </w:rPr>
            </w:pPr>
            <w:r>
              <w:rPr>
                <w:rFonts w:ascii="Berlin Sans FB Demi" w:hAnsi="Berlin Sans FB Demi"/>
                <w:b/>
              </w:rPr>
              <w:t>e contratti</w:t>
            </w:r>
          </w:p>
        </w:tc>
        <w:tc>
          <w:tcPr>
            <w:tcW w:w="1701" w:type="dxa"/>
            <w:vMerge w:val="restart"/>
            <w:tcBorders/>
            <w:vAlign w:val="center"/>
          </w:tcPr>
          <w:p>
            <w:pPr>
              <w:pStyle w:val="Intestazione"/>
              <w:jc w:val="center"/>
              <w:rPr>
                <w:b/>
                <w:b/>
              </w:rPr>
            </w:pPr>
            <w:r>
              <w:rPr>
                <w:b/>
              </w:rPr>
              <w:t>Atti delle amministrazioni aggiudicatrici e degli enti aggiudicatori distintamente per ogni procedura</w:t>
            </w:r>
          </w:p>
        </w:tc>
        <w:tc>
          <w:tcPr>
            <w:tcW w:w="1134" w:type="dxa"/>
            <w:tcBorders/>
            <w:vAlign w:val="center"/>
          </w:tcPr>
          <w:p>
            <w:pPr>
              <w:pStyle w:val="Normal"/>
              <w:jc w:val="center"/>
              <w:rPr/>
            </w:pPr>
            <w:r>
              <w:rPr/>
              <w:t>Art. 1, co. 505,</w:t>
            </w:r>
          </w:p>
          <w:p>
            <w:pPr>
              <w:pStyle w:val="Normal"/>
              <w:jc w:val="center"/>
              <w:rPr/>
            </w:pPr>
            <w:r>
              <w:rPr/>
              <w:t>l. 208/2015 disposizione speciale rispetto all'art. 21 del</w:t>
            </w:r>
          </w:p>
          <w:p>
            <w:pPr>
              <w:pStyle w:val="Normal"/>
              <w:jc w:val="center"/>
              <w:rPr/>
            </w:pPr>
            <w:r>
              <w:rPr/>
              <w:t>d.lgs. 50/2016)</w:t>
            </w:r>
          </w:p>
        </w:tc>
        <w:tc>
          <w:tcPr>
            <w:tcW w:w="2268" w:type="dxa"/>
            <w:tcBorders/>
            <w:vAlign w:val="center"/>
          </w:tcPr>
          <w:p>
            <w:pPr>
              <w:pStyle w:val="Normal"/>
              <w:jc w:val="center"/>
              <w:rPr/>
            </w:pPr>
            <w:r>
              <w:rPr/>
              <w:t>Contratti</w:t>
            </w:r>
          </w:p>
        </w:tc>
        <w:tc>
          <w:tcPr>
            <w:tcW w:w="5670" w:type="dxa"/>
            <w:tcBorders/>
            <w:vAlign w:val="center"/>
          </w:tcPr>
          <w:p>
            <w:pPr>
              <w:pStyle w:val="Normal"/>
              <w:jc w:val="center"/>
              <w:rPr/>
            </w:pPr>
            <w:r>
              <w:rPr/>
              <w:t>Testo integrale di  tutti i contratti di acquisto di beni e di servizi di importo unitario stimato superiore a  1  milione di euro in esecuzione del programma biennale e suoi aggiornamenti</w:t>
            </w:r>
          </w:p>
        </w:tc>
        <w:tc>
          <w:tcPr>
            <w:tcW w:w="1134" w:type="dxa"/>
            <w:tcBorders/>
            <w:vAlign w:val="center"/>
          </w:tcPr>
          <w:p>
            <w:pPr>
              <w:pStyle w:val="Normal"/>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Normal"/>
              <w:jc w:val="center"/>
              <w:rPr>
                <w:lang w:val="en-GB"/>
              </w:rPr>
            </w:pPr>
            <w:r>
              <w:rPr>
                <w:lang w:val="en-GB"/>
              </w:rPr>
              <w:t>Art. 37, c. 1, lett. b) d.lgs. n. 33/2013 e art. 29, c. 1, d.lgs. n. 50/2016</w:t>
            </w:r>
          </w:p>
        </w:tc>
        <w:tc>
          <w:tcPr>
            <w:tcW w:w="2268" w:type="dxa"/>
            <w:tcBorders/>
            <w:vAlign w:val="center"/>
          </w:tcPr>
          <w:p>
            <w:pPr>
              <w:pStyle w:val="Normal"/>
              <w:jc w:val="center"/>
              <w:rPr/>
            </w:pPr>
            <w:r>
              <w:rPr/>
              <w:t>Resoconti della gestione finanziaria dei contratti al termine della loro esecuzione</w:t>
            </w:r>
          </w:p>
        </w:tc>
        <w:tc>
          <w:tcPr>
            <w:tcW w:w="5670" w:type="dxa"/>
            <w:tcBorders/>
            <w:vAlign w:val="center"/>
          </w:tcPr>
          <w:p>
            <w:pPr>
              <w:pStyle w:val="Normal"/>
              <w:jc w:val="center"/>
              <w:rPr/>
            </w:pPr>
            <w:r>
              <w:rPr/>
              <w:t>Resoconti della gestione finanziaria dei contratti al termine della loro esecuzione.</w:t>
            </w:r>
          </w:p>
        </w:tc>
        <w:tc>
          <w:tcPr>
            <w:tcW w:w="1134" w:type="dxa"/>
            <w:tcBorders/>
            <w:vAlign w:val="center"/>
          </w:tcPr>
          <w:p>
            <w:pPr>
              <w:pStyle w:val="Normal"/>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Sovvenzioni,</w:t>
            </w:r>
          </w:p>
          <w:p>
            <w:pPr>
              <w:pStyle w:val="Intestazione"/>
              <w:jc w:val="center"/>
              <w:rPr>
                <w:rFonts w:ascii="Berlin Sans FB Demi" w:hAnsi="Berlin Sans FB Demi"/>
                <w:b/>
                <w:b/>
              </w:rPr>
            </w:pPr>
            <w:r>
              <w:rPr>
                <w:rFonts w:ascii="Berlin Sans FB Demi" w:hAnsi="Berlin Sans FB Demi"/>
                <w:b/>
              </w:rPr>
              <w:t>contributi,</w:t>
            </w:r>
          </w:p>
          <w:p>
            <w:pPr>
              <w:pStyle w:val="Intestazione"/>
              <w:jc w:val="center"/>
              <w:rPr>
                <w:rFonts w:ascii="Berlin Sans FB Demi" w:hAnsi="Berlin Sans FB Demi"/>
                <w:b/>
                <w:b/>
              </w:rPr>
            </w:pPr>
            <w:r>
              <w:rPr>
                <w:rFonts w:ascii="Berlin Sans FB Demi" w:hAnsi="Berlin Sans FB Demi"/>
                <w:b/>
              </w:rPr>
              <w:t>sussidi,</w:t>
            </w:r>
          </w:p>
          <w:p>
            <w:pPr>
              <w:pStyle w:val="Intestazione"/>
              <w:jc w:val="center"/>
              <w:rPr>
                <w:rFonts w:ascii="Berlin Sans FB Demi" w:hAnsi="Berlin Sans FB Demi"/>
                <w:b/>
                <w:b/>
              </w:rPr>
            </w:pPr>
            <w:r>
              <w:rPr>
                <w:rFonts w:ascii="Berlin Sans FB Demi" w:hAnsi="Berlin Sans FB Demi"/>
                <w:b/>
              </w:rPr>
              <w:t xml:space="preserve">vantaggi </w:t>
            </w:r>
          </w:p>
          <w:p>
            <w:pPr>
              <w:pStyle w:val="Intestazione"/>
              <w:jc w:val="center"/>
              <w:rPr>
                <w:rFonts w:ascii="Berlin Sans FB Demi" w:hAnsi="Berlin Sans FB Demi"/>
                <w:b/>
                <w:b/>
              </w:rPr>
            </w:pPr>
            <w:r>
              <w:rPr>
                <w:rFonts w:ascii="Berlin Sans FB Demi" w:hAnsi="Berlin Sans FB Demi"/>
                <w:b/>
              </w:rPr>
              <w:t>economici</w:t>
            </w:r>
          </w:p>
        </w:tc>
        <w:tc>
          <w:tcPr>
            <w:tcW w:w="1701" w:type="dxa"/>
            <w:vMerge w:val="restart"/>
            <w:tcBorders/>
            <w:vAlign w:val="center"/>
          </w:tcPr>
          <w:p>
            <w:pPr>
              <w:pStyle w:val="Intestazione"/>
              <w:jc w:val="center"/>
              <w:rPr>
                <w:b/>
                <w:b/>
              </w:rPr>
            </w:pPr>
            <w:r>
              <w:rPr>
                <w:b/>
              </w:rPr>
              <w:t>Criteri, modalità e procedure</w:t>
            </w:r>
          </w:p>
          <w:p>
            <w:pPr>
              <w:pStyle w:val="Intestazione"/>
              <w:jc w:val="center"/>
              <w:rPr>
                <w:b/>
                <w:b/>
              </w:rPr>
            </w:pPr>
            <w:r>
              <w:rPr>
                <w:b/>
              </w:rPr>
              <w:t xml:space="preserve">per assegnazione </w:t>
            </w:r>
          </w:p>
        </w:tc>
        <w:tc>
          <w:tcPr>
            <w:tcW w:w="1134" w:type="dxa"/>
            <w:vMerge w:val="restart"/>
            <w:tcBorders/>
            <w:vAlign w:val="center"/>
          </w:tcPr>
          <w:p>
            <w:pPr>
              <w:pStyle w:val="Normal"/>
              <w:jc w:val="center"/>
              <w:rPr>
                <w:lang w:val="en-GB"/>
              </w:rPr>
            </w:pPr>
            <w:r>
              <w:rPr>
                <w:lang w:val="en-GB"/>
              </w:rPr>
              <w:t>Art. 26</w:t>
            </w:r>
          </w:p>
          <w:p>
            <w:pPr>
              <w:pStyle w:val="Normal"/>
              <w:jc w:val="center"/>
              <w:rPr>
                <w:lang w:val="en-GB"/>
              </w:rPr>
            </w:pPr>
            <w:r>
              <w:rPr>
                <w:lang w:val="en-GB"/>
              </w:rPr>
              <w:t>d.lgs. 33/2013</w:t>
            </w:r>
          </w:p>
        </w:tc>
        <w:tc>
          <w:tcPr>
            <w:tcW w:w="2268" w:type="dxa"/>
            <w:tcBorders/>
            <w:vAlign w:val="center"/>
          </w:tcPr>
          <w:p>
            <w:pPr>
              <w:pStyle w:val="Normal"/>
              <w:jc w:val="center"/>
              <w:rPr/>
            </w:pPr>
            <w:r>
              <w:rPr/>
              <w:t>Beni Immobili del patrimonio disponibile</w:t>
            </w:r>
          </w:p>
        </w:tc>
        <w:tc>
          <w:tcPr>
            <w:tcW w:w="5670" w:type="dxa"/>
            <w:vMerge w:val="restart"/>
            <w:tcBorders/>
            <w:vAlign w:val="center"/>
          </w:tcPr>
          <w:p>
            <w:pPr>
              <w:pStyle w:val="Normal"/>
              <w:jc w:val="center"/>
              <w:rPr/>
            </w:pPr>
            <w:r>
              <w:rPr>
                <w:w w:val="115"/>
              </w:rPr>
              <w:t>Pubblicazione</w:t>
            </w:r>
            <w:r>
              <w:rPr>
                <w:spacing w:val="1"/>
                <w:w w:val="115"/>
              </w:rPr>
              <w:t xml:space="preserve"> </w:t>
            </w:r>
            <w:r>
              <w:rPr>
                <w:w w:val="115"/>
              </w:rPr>
              <w:t>degli</w:t>
            </w:r>
            <w:r>
              <w:rPr>
                <w:spacing w:val="1"/>
                <w:w w:val="115"/>
              </w:rPr>
              <w:t xml:space="preserve"> </w:t>
            </w:r>
            <w:r>
              <w:rPr>
                <w:w w:val="115"/>
              </w:rPr>
              <w:t>atti</w:t>
            </w:r>
            <w:r>
              <w:rPr>
                <w:spacing w:val="1"/>
                <w:w w:val="115"/>
              </w:rPr>
              <w:t xml:space="preserve"> </w:t>
            </w:r>
            <w:r>
              <w:rPr>
                <w:w w:val="115"/>
              </w:rPr>
              <w:t>di</w:t>
            </w:r>
            <w:r>
              <w:rPr>
                <w:spacing w:val="1"/>
                <w:w w:val="115"/>
              </w:rPr>
              <w:t xml:space="preserve"> </w:t>
            </w:r>
            <w:r>
              <w:rPr>
                <w:w w:val="115"/>
              </w:rPr>
              <w:t>carattere</w:t>
              <w:tab/>
              <w:t>generale</w:t>
              <w:tab/>
              <w:t>che</w:t>
            </w:r>
            <w:r>
              <w:rPr>
                <w:spacing w:val="-44"/>
                <w:w w:val="115"/>
              </w:rPr>
              <w:t xml:space="preserve"> </w:t>
            </w:r>
            <w:r>
              <w:rPr>
                <w:w w:val="115"/>
              </w:rPr>
              <w:t>individuano</w:t>
            </w:r>
            <w:r>
              <w:rPr>
                <w:spacing w:val="1"/>
                <w:w w:val="115"/>
              </w:rPr>
              <w:t xml:space="preserve"> </w:t>
            </w:r>
            <w:r>
              <w:rPr>
                <w:w w:val="115"/>
              </w:rPr>
              <w:t>i</w:t>
            </w:r>
            <w:r>
              <w:rPr>
                <w:spacing w:val="1"/>
                <w:w w:val="115"/>
              </w:rPr>
              <w:t xml:space="preserve"> c</w:t>
            </w:r>
            <w:r>
              <w:rPr>
                <w:w w:val="115"/>
              </w:rPr>
              <w:t>riteri,</w:t>
            </w:r>
            <w:r>
              <w:rPr>
                <w:spacing w:val="1"/>
                <w:w w:val="115"/>
              </w:rPr>
              <w:t xml:space="preserve"> </w:t>
            </w:r>
            <w:r>
              <w:rPr>
                <w:w w:val="115"/>
              </w:rPr>
              <w:t>le</w:t>
            </w:r>
            <w:r>
              <w:rPr>
                <w:spacing w:val="1"/>
                <w:w w:val="115"/>
              </w:rPr>
              <w:t xml:space="preserve"> </w:t>
            </w:r>
            <w:r>
              <w:rPr>
                <w:w w:val="115"/>
              </w:rPr>
              <w:t>modalità e le procedure assegnazione o fruizione, in conformità alla delibera ANAC n. 468 del 16/06/2021</w:t>
            </w:r>
          </w:p>
        </w:tc>
        <w:tc>
          <w:tcPr>
            <w:tcW w:w="1134" w:type="dxa"/>
            <w:vMerge w:val="restart"/>
            <w:tcBorders/>
            <w:vAlign w:val="center"/>
          </w:tcPr>
          <w:p>
            <w:pPr>
              <w:pStyle w:val="Normal"/>
              <w:jc w:val="center"/>
              <w:rPr/>
            </w:pPr>
            <w:r>
              <w:rPr/>
              <w:t>Tempestivo</w:t>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rFonts w:ascii="Berlin Sans FB Demi" w:hAnsi="Berlin Sans FB Demi"/>
                <w:b/>
                <w:b/>
              </w:rPr>
            </w:pPr>
            <w:r>
              <w:rPr>
                <w:rFonts w:ascii="Berlin Sans FB Demi" w:hAnsi="Berlin Sans FB Demi"/>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Normal"/>
              <w:jc w:val="center"/>
              <w:rPr>
                <w:lang w:val="en-GB"/>
              </w:rPr>
            </w:pPr>
            <w:r>
              <w:rPr>
                <w:lang w:val="en-GB"/>
              </w:rPr>
            </w:r>
          </w:p>
        </w:tc>
        <w:tc>
          <w:tcPr>
            <w:tcW w:w="2268" w:type="dxa"/>
            <w:tcBorders/>
            <w:vAlign w:val="center"/>
          </w:tcPr>
          <w:p>
            <w:pPr>
              <w:pStyle w:val="Normal"/>
              <w:jc w:val="center"/>
              <w:rPr/>
            </w:pPr>
            <w:r>
              <w:rPr/>
              <w:t>Alloggi di edilizia residenziale pubblica</w:t>
            </w:r>
          </w:p>
        </w:tc>
        <w:tc>
          <w:tcPr>
            <w:tcW w:w="5670" w:type="dxa"/>
            <w:vMerge w:val="continue"/>
            <w:tcBorders/>
            <w:vAlign w:val="center"/>
          </w:tcPr>
          <w:p>
            <w:pPr>
              <w:pStyle w:val="Normal"/>
              <w:jc w:val="center"/>
              <w:rPr/>
            </w:pPr>
            <w:r>
              <w:rPr/>
            </w:r>
          </w:p>
        </w:tc>
        <w:tc>
          <w:tcPr>
            <w:tcW w:w="1134" w:type="dxa"/>
            <w:vMerge w:val="continue"/>
            <w:tcBorders/>
            <w:vAlign w:val="center"/>
          </w:tcPr>
          <w:p>
            <w:pPr>
              <w:pStyle w:val="Normal"/>
              <w:jc w:val="center"/>
              <w:rPr/>
            </w:pPr>
            <w:r>
              <w:rPr/>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rFonts w:ascii="Berlin Sans FB Demi" w:hAnsi="Berlin Sans FB Demi"/>
                <w:b/>
                <w:b/>
              </w:rPr>
            </w:pPr>
            <w:r>
              <w:rPr>
                <w:rFonts w:ascii="Berlin Sans FB Demi" w:hAnsi="Berlin Sans FB Demi"/>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Normal"/>
              <w:jc w:val="center"/>
              <w:rPr>
                <w:lang w:val="en-GB"/>
              </w:rPr>
            </w:pPr>
            <w:r>
              <w:rPr>
                <w:lang w:val="en-GB"/>
              </w:rPr>
            </w:r>
          </w:p>
        </w:tc>
        <w:tc>
          <w:tcPr>
            <w:tcW w:w="2268" w:type="dxa"/>
            <w:tcBorders/>
            <w:vAlign w:val="center"/>
          </w:tcPr>
          <w:p>
            <w:pPr>
              <w:pStyle w:val="Normal"/>
              <w:jc w:val="center"/>
              <w:rPr/>
            </w:pPr>
            <w:r>
              <w:rPr/>
              <w:t>Servizi educativi integrati anni 0-6</w:t>
            </w:r>
          </w:p>
        </w:tc>
        <w:tc>
          <w:tcPr>
            <w:tcW w:w="5670" w:type="dxa"/>
            <w:vMerge w:val="continue"/>
            <w:tcBorders/>
            <w:vAlign w:val="center"/>
          </w:tcPr>
          <w:p>
            <w:pPr>
              <w:pStyle w:val="Normal"/>
              <w:jc w:val="center"/>
              <w:rPr/>
            </w:pPr>
            <w:r>
              <w:rPr/>
            </w:r>
          </w:p>
        </w:tc>
        <w:tc>
          <w:tcPr>
            <w:tcW w:w="1134" w:type="dxa"/>
            <w:vMerge w:val="continue"/>
            <w:tcBorders/>
            <w:vAlign w:val="center"/>
          </w:tcPr>
          <w:p>
            <w:pPr>
              <w:pStyle w:val="Normal"/>
              <w:jc w:val="center"/>
              <w:rPr/>
            </w:pPr>
            <w:r>
              <w:rPr/>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rFonts w:ascii="Berlin Sans FB Demi" w:hAnsi="Berlin Sans FB Demi"/>
                <w:b/>
                <w:b/>
              </w:rPr>
            </w:pPr>
            <w:r>
              <w:rPr>
                <w:rFonts w:ascii="Berlin Sans FB Demi" w:hAnsi="Berlin Sans FB Demi"/>
                <w:b/>
              </w:rPr>
            </w:r>
          </w:p>
        </w:tc>
        <w:tc>
          <w:tcPr>
            <w:tcW w:w="1701" w:type="dxa"/>
            <w:vMerge w:val="restart"/>
            <w:tcBorders/>
            <w:vAlign w:val="center"/>
          </w:tcPr>
          <w:p>
            <w:pPr>
              <w:pStyle w:val="Intestazione"/>
              <w:jc w:val="center"/>
              <w:rPr>
                <w:b/>
                <w:b/>
              </w:rPr>
            </w:pPr>
            <w:r>
              <w:rPr>
                <w:b/>
              </w:rPr>
              <w:t>Atti di concessione</w:t>
            </w:r>
          </w:p>
        </w:tc>
        <w:tc>
          <w:tcPr>
            <w:tcW w:w="1134" w:type="dxa"/>
            <w:tcBorders/>
            <w:vAlign w:val="center"/>
          </w:tcPr>
          <w:p>
            <w:pPr>
              <w:pStyle w:val="Intestazione"/>
              <w:jc w:val="center"/>
              <w:rPr/>
            </w:pPr>
            <w:r>
              <w:rPr/>
              <w:t>art. 26, c. 2</w:t>
            </w:r>
          </w:p>
        </w:tc>
        <w:tc>
          <w:tcPr>
            <w:tcW w:w="2268" w:type="dxa"/>
            <w:vMerge w:val="restart"/>
            <w:tcBorders/>
            <w:vAlign w:val="center"/>
          </w:tcPr>
          <w:p>
            <w:pPr>
              <w:pStyle w:val="Intestazione"/>
              <w:jc w:val="center"/>
              <w:rPr/>
            </w:pPr>
            <w:r>
              <w:rPr/>
              <w:t>Atti di concessione</w:t>
            </w:r>
          </w:p>
          <w:p>
            <w:pPr>
              <w:pStyle w:val="Intestazione"/>
              <w:jc w:val="center"/>
              <w:rPr/>
            </w:pPr>
            <w:r>
              <w:rPr/>
              <w:t>(da pubblicare in tabelle creando un collegamento con la pagina nella quale sono riportati i dati dei relativi provvedimenti finali)</w:t>
            </w:r>
          </w:p>
          <w:p>
            <w:pPr>
              <w:pStyle w:val="Intestazione"/>
              <w:jc w:val="center"/>
              <w:rPr/>
            </w:pPr>
            <w:r>
              <w:rPr/>
              <w:t>(NB: è fatto divieto di diffusione di dati da cui sia possibile ricavare informazioni relative allo stato di salute e alla situazione di disagio economico-sociale degli interessati, come previsto dall'art. 26, c. 4,  del d.lgs. n. 33/2013)</w:t>
            </w:r>
          </w:p>
        </w:tc>
        <w:tc>
          <w:tcPr>
            <w:tcW w:w="5670" w:type="dxa"/>
            <w:tcBorders/>
            <w:vAlign w:val="center"/>
          </w:tcPr>
          <w:p>
            <w:pPr>
              <w:pStyle w:val="Normal"/>
              <w:rPr/>
            </w:pPr>
            <w:r>
              <w:rPr/>
              <w:t>Atti di concessione di sovvenzioni, contributi, sussidi ed ausili finanziari alle imprese e  comunque di  vantaggi economici di qualunque genere a persone ed enti pubblici e privati di importo superiore a mille euro</w:t>
            </w:r>
          </w:p>
        </w:tc>
        <w:tc>
          <w:tcPr>
            <w:tcW w:w="1134" w:type="dxa"/>
            <w:tcBorders/>
            <w:vAlign w:val="center"/>
          </w:tcPr>
          <w:p>
            <w:pPr>
              <w:pStyle w:val="Normal"/>
              <w:jc w:val="center"/>
              <w:rPr/>
            </w:pPr>
            <w:r>
              <w:rPr/>
              <w:t>Tempestivo</w:t>
            </w:r>
          </w:p>
          <w:p>
            <w:pPr>
              <w:pStyle w:val="Normal"/>
              <w:jc w:val="center"/>
              <w:rPr/>
            </w:pPr>
            <w:r>
              <w:rPr/>
              <w:t>art. 26, c. 3,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rFonts w:ascii="Berlin Sans FB Demi" w:hAnsi="Berlin Sans FB Demi"/>
                <w:b/>
                <w:b/>
              </w:rPr>
            </w:pPr>
            <w:r>
              <w:rPr>
                <w:rFonts w:ascii="Berlin Sans FB Demi" w:hAnsi="Berlin Sans FB Demi"/>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Per ciascun atto :</w:t>
            </w:r>
          </w:p>
        </w:tc>
        <w:tc>
          <w:tcPr>
            <w:tcW w:w="1134" w:type="dxa"/>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rFonts w:ascii="Berlin Sans FB Demi" w:hAnsi="Berlin Sans FB Demi"/>
                <w:b/>
                <w:b/>
              </w:rPr>
            </w:pPr>
            <w:r>
              <w:rPr>
                <w:rFonts w:ascii="Berlin Sans FB Demi" w:hAnsi="Berlin Sans FB Demi"/>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27, c. 1, lett. a)</w:t>
            </w:r>
          </w:p>
        </w:tc>
        <w:tc>
          <w:tcPr>
            <w:tcW w:w="2268" w:type="dxa"/>
            <w:vMerge w:val="continue"/>
            <w:tcBorders/>
            <w:vAlign w:val="center"/>
          </w:tcPr>
          <w:p>
            <w:pPr>
              <w:pStyle w:val="Intestazione"/>
              <w:jc w:val="center"/>
              <w:rPr/>
            </w:pPr>
            <w:r>
              <w:rPr/>
            </w:r>
          </w:p>
        </w:tc>
        <w:tc>
          <w:tcPr>
            <w:tcW w:w="5670" w:type="dxa"/>
            <w:tcBorders/>
          </w:tcPr>
          <w:p>
            <w:pPr>
              <w:pStyle w:val="Normal"/>
              <w:rPr/>
            </w:pPr>
            <w:r>
              <w:rPr/>
              <w:t>1) nome dell'impresa o dell'ente e i rispettivi dati fiscali o il nome di altro soggetto beneficiario</w:t>
            </w:r>
          </w:p>
        </w:tc>
        <w:tc>
          <w:tcPr>
            <w:tcW w:w="1134" w:type="dxa"/>
            <w:vMerge w:val="restart"/>
            <w:tcBorders/>
            <w:vAlign w:val="center"/>
          </w:tcPr>
          <w:p>
            <w:pPr>
              <w:pStyle w:val="Normal"/>
              <w:jc w:val="center"/>
              <w:rPr/>
            </w:pPr>
            <w:r>
              <w:rPr/>
              <w:t>Tempestivo</w:t>
            </w:r>
          </w:p>
          <w:p>
            <w:pPr>
              <w:pStyle w:val="Normal"/>
              <w:jc w:val="center"/>
              <w:rPr/>
            </w:pPr>
            <w:r>
              <w:rPr/>
              <w:t>(art. 26, c. 3,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27, c. 1, lett. b)</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2)  importo del vantaggio economico corrisposto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27, c. 1, lett. c)</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3) norma o titolo a base dell'attribuzione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27, c. 1, lett. d)</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4) ufficio e funzionario o dirigente responsabile del relativo procedimento amministrativo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27, c. 1, lett. e)</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5) modalità seguita per l'individuazione del beneficiario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27, c. 1, lett. f)</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lang w:val="en-GB"/>
              </w:rPr>
            </w:pPr>
            <w:r>
              <w:rPr>
                <w:lang w:val="en-GB"/>
              </w:rPr>
              <w:t>6) link al progetto selezionato</w:t>
            </w:r>
          </w:p>
        </w:tc>
        <w:tc>
          <w:tcPr>
            <w:tcW w:w="1134" w:type="dxa"/>
            <w:vMerge w:val="continue"/>
            <w:tcBorders/>
            <w:vAlign w:val="center"/>
          </w:tcPr>
          <w:p>
            <w:pPr>
              <w:pStyle w:val="Intestazione"/>
              <w:jc w:val="center"/>
              <w:rPr>
                <w:lang w:val="en-GB"/>
              </w:rPr>
            </w:pPr>
            <w:r>
              <w:rPr>
                <w:lang w:val="en-GB"/>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continue"/>
            <w:tcBorders/>
            <w:vAlign w:val="center"/>
          </w:tcPr>
          <w:p>
            <w:pPr>
              <w:pStyle w:val="Intestazione"/>
              <w:jc w:val="center"/>
              <w:rPr>
                <w:b/>
                <w:b/>
                <w:lang w:val="en-GB"/>
              </w:rPr>
            </w:pPr>
            <w:r>
              <w:rPr>
                <w:b/>
                <w:lang w:val="en-GB"/>
              </w:rPr>
            </w:r>
          </w:p>
        </w:tc>
        <w:tc>
          <w:tcPr>
            <w:tcW w:w="1134" w:type="dxa"/>
            <w:tcBorders/>
            <w:vAlign w:val="center"/>
          </w:tcPr>
          <w:p>
            <w:pPr>
              <w:pStyle w:val="Intestazione"/>
              <w:jc w:val="center"/>
              <w:rPr>
                <w:lang w:val="en-GB"/>
              </w:rPr>
            </w:pPr>
            <w:r>
              <w:rPr>
                <w:lang w:val="en-GB"/>
              </w:rPr>
              <w:t>art. 27, c. 1, lett. f)</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7) link al curriculum vitae del soggetto incaricato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27, c.2)</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center"/>
              <w:rPr/>
            </w:pPr>
            <w:r>
              <w:rPr/>
              <w:t>Elenco (in formato tabellare aperto) dei soggetti beneficiari degli atti di concessione di sovvenzioni, contributi, sussidi ed ausili finanziari alle imprese e di attribuzione di vantaggi economici di qualunque genere a persone ed enti pubblici e privati di importo superiore a mille euro</w:t>
            </w:r>
          </w:p>
        </w:tc>
        <w:tc>
          <w:tcPr>
            <w:tcW w:w="1134" w:type="dxa"/>
            <w:tcBorders/>
            <w:vAlign w:val="center"/>
          </w:tcPr>
          <w:p>
            <w:pPr>
              <w:pStyle w:val="Intestazione"/>
              <w:jc w:val="center"/>
              <w:rPr>
                <w:lang w:val="en-GB"/>
              </w:rPr>
            </w:pPr>
            <w:r>
              <w:rPr>
                <w:lang w:val="en-GB"/>
              </w:rPr>
              <w:t>Annuale</w:t>
            </w:r>
          </w:p>
          <w:p>
            <w:pPr>
              <w:pStyle w:val="Intestazione"/>
              <w:jc w:val="center"/>
              <w:rPr>
                <w:lang w:val="en-GB"/>
              </w:rPr>
            </w:pPr>
            <w:r>
              <w:rPr>
                <w:lang w:val="en-GB"/>
              </w:rPr>
              <w:t>art. 27, c. 2,</w:t>
            </w:r>
          </w:p>
          <w:p>
            <w:pPr>
              <w:pStyle w:val="Intestazione"/>
              <w:jc w:val="center"/>
              <w:rPr>
                <w:lang w:val="en-GB"/>
              </w:rPr>
            </w:pPr>
            <w:r>
              <w:rPr>
                <w:lang w:val="en-GB"/>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lang w:val="en-GB"/>
              </w:rPr>
            </w:pPr>
            <w:r>
              <w:rPr>
                <w:rFonts w:ascii="Berlin Sans FB Demi" w:hAnsi="Berlin Sans FB Demi"/>
                <w:b/>
                <w:lang w:val="en-GB"/>
              </w:rPr>
              <w:t>Bilanci</w:t>
            </w:r>
          </w:p>
        </w:tc>
        <w:tc>
          <w:tcPr>
            <w:tcW w:w="1701" w:type="dxa"/>
            <w:vMerge w:val="restart"/>
            <w:tcBorders/>
            <w:vAlign w:val="center"/>
          </w:tcPr>
          <w:p>
            <w:pPr>
              <w:pStyle w:val="Intestazione"/>
              <w:jc w:val="center"/>
              <w:rPr>
                <w:b/>
                <w:b/>
                <w:lang w:val="en-GB"/>
              </w:rPr>
            </w:pPr>
            <w:r>
              <w:rPr>
                <w:b/>
                <w:lang w:val="en-GB"/>
              </w:rPr>
              <w:t>Bilancio</w:t>
            </w:r>
          </w:p>
          <w:p>
            <w:pPr>
              <w:pStyle w:val="Intestazione"/>
              <w:jc w:val="center"/>
              <w:rPr>
                <w:b/>
                <w:b/>
                <w:lang w:val="en-GB"/>
              </w:rPr>
            </w:pPr>
            <w:r>
              <w:rPr>
                <w:b/>
                <w:lang w:val="en-GB"/>
              </w:rPr>
              <w:t>preventivo</w:t>
            </w:r>
          </w:p>
          <w:p>
            <w:pPr>
              <w:pStyle w:val="Intestazione"/>
              <w:jc w:val="center"/>
              <w:rPr>
                <w:b/>
                <w:b/>
                <w:lang w:val="en-GB"/>
              </w:rPr>
            </w:pPr>
            <w:r>
              <w:rPr>
                <w:b/>
                <w:lang w:val="en-GB"/>
              </w:rPr>
              <w:t>e consuntivo</w:t>
            </w:r>
          </w:p>
        </w:tc>
        <w:tc>
          <w:tcPr>
            <w:tcW w:w="1134" w:type="dxa"/>
            <w:tcBorders/>
            <w:vAlign w:val="center"/>
          </w:tcPr>
          <w:p>
            <w:pPr>
              <w:pStyle w:val="Intestazione"/>
              <w:jc w:val="center"/>
              <w:rPr>
                <w:lang w:val="en-GB"/>
              </w:rPr>
            </w:pPr>
            <w:r>
              <w:rPr>
                <w:lang w:val="en-GB"/>
              </w:rPr>
              <w:t>art. 29, c. 1</w:t>
            </w:r>
          </w:p>
          <w:p>
            <w:pPr>
              <w:pStyle w:val="Intestazione"/>
              <w:jc w:val="center"/>
              <w:rPr>
                <w:lang w:val="en-GB"/>
              </w:rPr>
            </w:pPr>
            <w:r>
              <w:rPr>
                <w:lang w:val="en-GB"/>
              </w:rPr>
              <w:t>art. 5, c. 1</w:t>
            </w:r>
          </w:p>
          <w:p>
            <w:pPr>
              <w:pStyle w:val="Intestazione"/>
              <w:jc w:val="center"/>
              <w:rPr>
                <w:lang w:val="en-GB"/>
              </w:rPr>
            </w:pPr>
            <w:r>
              <w:rPr>
                <w:lang w:val="en-GB"/>
              </w:rPr>
              <w:t xml:space="preserve"> </w:t>
            </w:r>
            <w:r>
              <w:rPr>
                <w:lang w:val="en-GB"/>
              </w:rPr>
              <w:t>dpcm. 26.4.2011</w:t>
            </w:r>
          </w:p>
        </w:tc>
        <w:tc>
          <w:tcPr>
            <w:tcW w:w="2268" w:type="dxa"/>
            <w:vMerge w:val="restart"/>
            <w:tcBorders/>
            <w:vAlign w:val="center"/>
          </w:tcPr>
          <w:p>
            <w:pPr>
              <w:pStyle w:val="Intestazione"/>
              <w:jc w:val="center"/>
              <w:rPr>
                <w:lang w:val="en-GB"/>
              </w:rPr>
            </w:pPr>
            <w:r>
              <w:rPr>
                <w:lang w:val="en-GB"/>
              </w:rPr>
              <w:t>Bilancio preventivo</w:t>
            </w:r>
          </w:p>
        </w:tc>
        <w:tc>
          <w:tcPr>
            <w:tcW w:w="5670" w:type="dxa"/>
            <w:tcBorders/>
            <w:vAlign w:val="center"/>
          </w:tcPr>
          <w:p>
            <w:pPr>
              <w:pStyle w:val="Normal"/>
              <w:jc w:val="center"/>
              <w:rPr/>
            </w:pPr>
            <w:r>
              <w:rPr/>
              <w:t>Documenti e allegati del bilancio preventivo, nonché dati relativi al  bilancio di previsione di ciascun anno in forma sintetica, aggregata e semplificata, anche con il ricorso a rappresentazioni grafiche</w:t>
            </w:r>
          </w:p>
        </w:tc>
        <w:tc>
          <w:tcPr>
            <w:tcW w:w="1134" w:type="dxa"/>
            <w:vMerge w:val="restart"/>
            <w:tcBorders/>
            <w:vAlign w:val="center"/>
          </w:tcPr>
          <w:p>
            <w:pPr>
              <w:pStyle w:val="Normal"/>
              <w:jc w:val="center"/>
              <w:rPr/>
            </w:pPr>
            <w:r>
              <w:rPr/>
              <w:t>Tempestivo</w:t>
            </w:r>
          </w:p>
          <w:p>
            <w:pPr>
              <w:pStyle w:val="Normal"/>
              <w:jc w:val="center"/>
              <w:rPr/>
            </w:pPr>
            <w:r>
              <w:rPr/>
              <w:t>ex art. 8,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29, c. 1-bis</w:t>
            </w:r>
          </w:p>
          <w:p>
            <w:pPr>
              <w:pStyle w:val="Intestazione"/>
              <w:jc w:val="center"/>
              <w:rPr>
                <w:lang w:val="en-GB"/>
              </w:rPr>
            </w:pPr>
            <w:r>
              <w:rPr>
                <w:lang w:val="en-GB"/>
              </w:rPr>
              <w:t>art. 5, c. 1</w:t>
            </w:r>
          </w:p>
          <w:p>
            <w:pPr>
              <w:pStyle w:val="Intestazione"/>
              <w:jc w:val="center"/>
              <w:rPr>
                <w:lang w:val="en-GB"/>
              </w:rPr>
            </w:pPr>
            <w:r>
              <w:rPr>
                <w:lang w:val="en-GB"/>
              </w:rPr>
              <w:t xml:space="preserve"> </w:t>
            </w:r>
            <w:r>
              <w:rPr>
                <w:lang w:val="en-GB"/>
              </w:rPr>
              <w:t>dpcm. 26.4.2011</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center"/>
              <w:rPr/>
            </w:pPr>
            <w:r>
              <w:rPr/>
              <w:t>Dati relativi  alle  entrate  e  alla  spesa  dei bilanci preventivi in formato tabellare aperto in modo da consentire l'esportazione,  il   trattamento   e   il   riutilizzo.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29, c. 1</w:t>
            </w:r>
          </w:p>
          <w:p>
            <w:pPr>
              <w:pStyle w:val="Intestazione"/>
              <w:jc w:val="center"/>
              <w:rPr>
                <w:lang w:val="en-GB"/>
              </w:rPr>
            </w:pPr>
            <w:r>
              <w:rPr>
                <w:lang w:val="en-GB"/>
              </w:rPr>
              <w:t>art. 5, c. 1</w:t>
            </w:r>
          </w:p>
          <w:p>
            <w:pPr>
              <w:pStyle w:val="Intestazione"/>
              <w:jc w:val="center"/>
              <w:rPr>
                <w:lang w:val="en-GB"/>
              </w:rPr>
            </w:pPr>
            <w:r>
              <w:rPr>
                <w:lang w:val="en-GB"/>
              </w:rPr>
              <w:t xml:space="preserve"> </w:t>
            </w:r>
            <w:r>
              <w:rPr>
                <w:lang w:val="en-GB"/>
              </w:rPr>
              <w:t>dpcm. 26.4.2011</w:t>
            </w:r>
          </w:p>
        </w:tc>
        <w:tc>
          <w:tcPr>
            <w:tcW w:w="2268" w:type="dxa"/>
            <w:vMerge w:val="restart"/>
            <w:tcBorders/>
            <w:vAlign w:val="center"/>
          </w:tcPr>
          <w:p>
            <w:pPr>
              <w:pStyle w:val="Intestazione"/>
              <w:jc w:val="center"/>
              <w:rPr>
                <w:lang w:val="en-GB"/>
              </w:rPr>
            </w:pPr>
            <w:r>
              <w:rPr>
                <w:lang w:val="en-GB"/>
              </w:rPr>
              <w:t>Bilancio consuntivo</w:t>
            </w:r>
          </w:p>
        </w:tc>
        <w:tc>
          <w:tcPr>
            <w:tcW w:w="5670" w:type="dxa"/>
            <w:tcBorders/>
            <w:vAlign w:val="center"/>
          </w:tcPr>
          <w:p>
            <w:pPr>
              <w:pStyle w:val="Intestazione"/>
              <w:jc w:val="center"/>
              <w:rPr/>
            </w:pPr>
            <w:r>
              <w:rPr/>
              <w:t>Documenti e allegati del bilancio consuntivo, nonché dati relativi al bilancio consuntivo di ciascun anno in forma sintetica, aggregata e semplificata, anche con il ricorso a rappresentazioni grafiche</w:t>
            </w:r>
          </w:p>
        </w:tc>
        <w:tc>
          <w:tcPr>
            <w:tcW w:w="1134" w:type="dxa"/>
            <w:vMerge w:val="restart"/>
            <w:tcBorders/>
            <w:vAlign w:val="center"/>
          </w:tcPr>
          <w:p>
            <w:pPr>
              <w:pStyle w:val="Normal"/>
              <w:jc w:val="center"/>
              <w:rPr/>
            </w:pPr>
            <w:r>
              <w:rPr/>
              <w:t>Tempestivo</w:t>
            </w:r>
          </w:p>
          <w:p>
            <w:pPr>
              <w:pStyle w:val="Intestazione"/>
              <w:jc w:val="center"/>
              <w:rPr/>
            </w:pPr>
            <w:r>
              <w:rPr/>
              <w:t>ex art. 8,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lang w:val="en-GB"/>
              </w:rPr>
            </w:pPr>
            <w:r>
              <w:rPr>
                <w:lang w:val="en-GB"/>
              </w:rPr>
              <w:t>art. 29, c. 1-bis</w:t>
            </w:r>
          </w:p>
          <w:p>
            <w:pPr>
              <w:pStyle w:val="Intestazione"/>
              <w:jc w:val="center"/>
              <w:rPr>
                <w:lang w:val="en-GB"/>
              </w:rPr>
            </w:pPr>
            <w:r>
              <w:rPr>
                <w:lang w:val="en-GB"/>
              </w:rPr>
              <w:t>art. 5, c. 1</w:t>
            </w:r>
          </w:p>
          <w:p>
            <w:pPr>
              <w:pStyle w:val="Intestazione"/>
              <w:jc w:val="center"/>
              <w:rPr>
                <w:lang w:val="en-GB"/>
              </w:rPr>
            </w:pPr>
            <w:r>
              <w:rPr>
                <w:lang w:val="en-GB"/>
              </w:rPr>
              <w:t xml:space="preserve"> </w:t>
            </w:r>
            <w:r>
              <w:rPr>
                <w:lang w:val="en-GB"/>
              </w:rPr>
              <w:t>dpcm. 26.4.2011</w:t>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center"/>
              <w:rPr/>
            </w:pPr>
            <w:r>
              <w:rPr/>
              <w:t>Dati relativi  alle  entrate  e  alla  spesa  dei bilanci consuntivi in formato tabellare aperto in modo da consentire l'esportazione,  il   trattamento   e   il   riutilizzo.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Intestazione"/>
              <w:jc w:val="center"/>
              <w:rPr>
                <w:b/>
                <w:b/>
              </w:rPr>
            </w:pPr>
            <w:r>
              <w:rPr>
                <w:b/>
              </w:rPr>
              <w:t>Piano degli indicatori e</w:t>
            </w:r>
          </w:p>
          <w:p>
            <w:pPr>
              <w:pStyle w:val="Intestazione"/>
              <w:jc w:val="center"/>
              <w:rPr>
                <w:b/>
                <w:b/>
              </w:rPr>
            </w:pPr>
            <w:r>
              <w:rPr>
                <w:b/>
              </w:rPr>
              <w:t>dei risultati attesi di bilanio</w:t>
            </w:r>
          </w:p>
        </w:tc>
        <w:tc>
          <w:tcPr>
            <w:tcW w:w="1134" w:type="dxa"/>
            <w:tcBorders/>
            <w:vAlign w:val="center"/>
          </w:tcPr>
          <w:p>
            <w:pPr>
              <w:pStyle w:val="Normal"/>
              <w:jc w:val="center"/>
              <w:rPr>
                <w:lang w:val="en-GB"/>
              </w:rPr>
            </w:pPr>
            <w:r>
              <w:rPr>
                <w:lang w:val="en-GB"/>
              </w:rPr>
              <w:t>art. 29, c. 2;</w:t>
            </w:r>
          </w:p>
          <w:p>
            <w:pPr>
              <w:pStyle w:val="Normal"/>
              <w:jc w:val="center"/>
              <w:rPr>
                <w:lang w:val="en-GB"/>
              </w:rPr>
            </w:pPr>
            <w:r>
              <w:rPr>
                <w:lang w:val="en-GB"/>
              </w:rPr>
              <w:t>art. 19 e 22 del dlgs n. 91/2011 - Art. 18-bis del dlgs n.118/2011</w:t>
            </w:r>
          </w:p>
        </w:tc>
        <w:tc>
          <w:tcPr>
            <w:tcW w:w="2268" w:type="dxa"/>
            <w:tcBorders/>
            <w:vAlign w:val="center"/>
          </w:tcPr>
          <w:p>
            <w:pPr>
              <w:pStyle w:val="Normal"/>
              <w:jc w:val="center"/>
              <w:rPr/>
            </w:pPr>
            <w:r>
              <w:rPr/>
              <w:t>Piano degli indicatori e dei risultati attesi di bilancio</w:t>
            </w:r>
          </w:p>
        </w:tc>
        <w:tc>
          <w:tcPr>
            <w:tcW w:w="5670" w:type="dxa"/>
            <w:tcBorders/>
            <w:vAlign w:val="center"/>
          </w:tcPr>
          <w:p>
            <w:pPr>
              <w:pStyle w:val="Normal"/>
              <w:jc w:val="center"/>
              <w:rPr/>
            </w:pPr>
            <w:r>
              <w:rPr/>
              <w:t>Piano degli indicatori e risultati attesi di bilancio, con l’integrazione delle risultanze osservate in termini di raggiungimento dei risultati attesi e le motivazioni degli eventuali scostamenti e gli aggiornamenti in corrispondenza di ogni nuovo esercizio di bilancio, sia tramite la specificazione di nuovi obiettivi e indicatori, sia attraverso l’aggiornamento dei valori obiettivo e la soppressione di obiettivi già raggiunti oppure oggetto di ripianificazione</w:t>
            </w:r>
          </w:p>
        </w:tc>
        <w:tc>
          <w:tcPr>
            <w:tcW w:w="1134" w:type="dxa"/>
            <w:tcBorders/>
            <w:vAlign w:val="center"/>
          </w:tcPr>
          <w:p>
            <w:pPr>
              <w:pStyle w:val="Normal"/>
              <w:jc w:val="center"/>
              <w:rPr/>
            </w:pPr>
            <w:r>
              <w:rPr/>
              <w:t>Tempestivo</w:t>
            </w:r>
          </w:p>
          <w:p>
            <w:pPr>
              <w:pStyle w:val="Intestazione"/>
              <w:jc w:val="center"/>
              <w:rPr/>
            </w:pPr>
            <w:r>
              <w:rPr/>
              <w:t>ex art. 8,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Beni immobili e gestione patrimonio</w:t>
            </w:r>
          </w:p>
        </w:tc>
        <w:tc>
          <w:tcPr>
            <w:tcW w:w="1701" w:type="dxa"/>
            <w:vMerge w:val="restart"/>
            <w:tcBorders/>
            <w:vAlign w:val="center"/>
          </w:tcPr>
          <w:p>
            <w:pPr>
              <w:pStyle w:val="Intestazione"/>
              <w:jc w:val="center"/>
              <w:rPr>
                <w:b/>
                <w:b/>
              </w:rPr>
            </w:pPr>
            <w:r>
              <w:rPr>
                <w:b/>
              </w:rPr>
              <w:t>Patrimonio immobiliare</w:t>
            </w:r>
          </w:p>
        </w:tc>
        <w:tc>
          <w:tcPr>
            <w:tcW w:w="1134" w:type="dxa"/>
            <w:tcBorders/>
            <w:vAlign w:val="center"/>
          </w:tcPr>
          <w:p>
            <w:pPr>
              <w:pStyle w:val="Intestazione"/>
              <w:jc w:val="center"/>
              <w:rPr/>
            </w:pPr>
            <w:r>
              <w:rPr/>
              <w:t>art. 30</w:t>
            </w:r>
          </w:p>
          <w:p>
            <w:pPr>
              <w:pStyle w:val="Intestazione"/>
              <w:jc w:val="center"/>
              <w:rPr/>
            </w:pPr>
            <w:r>
              <w:rPr/>
              <w:t>d.lgs. 33/2013</w:t>
            </w:r>
          </w:p>
        </w:tc>
        <w:tc>
          <w:tcPr>
            <w:tcW w:w="2268" w:type="dxa"/>
            <w:tcBorders/>
            <w:vAlign w:val="center"/>
          </w:tcPr>
          <w:p>
            <w:pPr>
              <w:pStyle w:val="Intestazione"/>
              <w:jc w:val="center"/>
              <w:rPr/>
            </w:pPr>
            <w:r>
              <w:rPr/>
              <w:t>Patrimonio immobiliare</w:t>
            </w:r>
          </w:p>
        </w:tc>
        <w:tc>
          <w:tcPr>
            <w:tcW w:w="5670" w:type="dxa"/>
            <w:tcBorders/>
            <w:vAlign w:val="center"/>
          </w:tcPr>
          <w:p>
            <w:pPr>
              <w:pStyle w:val="Intestazione"/>
              <w:jc w:val="both"/>
              <w:rPr/>
            </w:pPr>
            <w:r>
              <w:rPr/>
              <w:t>Informazioni identificative degli immobili posseduti e detenuti</w:t>
            </w:r>
          </w:p>
        </w:tc>
        <w:tc>
          <w:tcPr>
            <w:tcW w:w="1134" w:type="dxa"/>
            <w:tcBorders/>
            <w:vAlign w:val="center"/>
          </w:tcPr>
          <w:p>
            <w:pPr>
              <w:pStyle w:val="Normal"/>
              <w:jc w:val="center"/>
              <w:rPr/>
            </w:pPr>
            <w:r>
              <w:rPr/>
              <w:t>Tempestivo</w:t>
            </w:r>
          </w:p>
          <w:p>
            <w:pPr>
              <w:pStyle w:val="Intestazione"/>
              <w:jc w:val="center"/>
              <w:rPr/>
            </w:pPr>
            <w:r>
              <w:rPr/>
              <w:t>ex art. 8,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48, c. 3, lett. C),</w:t>
            </w:r>
          </w:p>
          <w:p>
            <w:pPr>
              <w:pStyle w:val="Intestazione"/>
              <w:jc w:val="center"/>
              <w:rPr/>
            </w:pPr>
            <w:r>
              <w:rPr/>
              <w:t>d.lgs. 159/2011</w:t>
            </w:r>
          </w:p>
        </w:tc>
        <w:tc>
          <w:tcPr>
            <w:tcW w:w="2268" w:type="dxa"/>
            <w:tcBorders/>
            <w:vAlign w:val="center"/>
          </w:tcPr>
          <w:p>
            <w:pPr>
              <w:pStyle w:val="Intestazione"/>
              <w:jc w:val="center"/>
              <w:rPr/>
            </w:pPr>
            <w:r>
              <w:rPr/>
              <w:t>Beni confiscati alla criminalità organizzata</w:t>
            </w:r>
          </w:p>
        </w:tc>
        <w:tc>
          <w:tcPr>
            <w:tcW w:w="5670" w:type="dxa"/>
            <w:tcBorders/>
            <w:vAlign w:val="center"/>
          </w:tcPr>
          <w:p>
            <w:pPr>
              <w:pStyle w:val="Intestazione"/>
              <w:jc w:val="both"/>
              <w:rPr/>
            </w:pPr>
            <w:r>
              <w:rPr/>
              <w:t xml:space="preserve">Elenco dei beni confiscati alla criminalità organizzata e trasferiti al Comune, contenente i dati concernenti la consistenza, la destinazione e l’utilizzazione dei beni, nonché in caso di assegnazione a terzi, i dati identificativi del concessionario e gli estremi, l’oggetto e la durata della concessione. </w:t>
            </w:r>
          </w:p>
        </w:tc>
        <w:tc>
          <w:tcPr>
            <w:tcW w:w="1134" w:type="dxa"/>
            <w:tcBorders/>
            <w:vAlign w:val="center"/>
          </w:tcPr>
          <w:p>
            <w:pPr>
              <w:pStyle w:val="Normal"/>
              <w:jc w:val="center"/>
              <w:rPr/>
            </w:pPr>
            <w:r>
              <w:rPr/>
              <w:t>Aggiornamento mensile</w:t>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Intestazione"/>
              <w:jc w:val="center"/>
              <w:rPr>
                <w:b/>
                <w:b/>
              </w:rPr>
            </w:pPr>
            <w:r>
              <w:rPr>
                <w:b/>
              </w:rPr>
              <w:t>Canoni di locazione e affitto</w:t>
            </w:r>
          </w:p>
        </w:tc>
        <w:tc>
          <w:tcPr>
            <w:tcW w:w="1134" w:type="dxa"/>
            <w:tcBorders/>
            <w:vAlign w:val="center"/>
          </w:tcPr>
          <w:p>
            <w:pPr>
              <w:pStyle w:val="Intestazione"/>
              <w:jc w:val="center"/>
              <w:rPr/>
            </w:pPr>
            <w:r>
              <w:rPr/>
              <w:t xml:space="preserve">art. 30 </w:t>
            </w:r>
          </w:p>
          <w:p>
            <w:pPr>
              <w:pStyle w:val="Intestazione"/>
              <w:jc w:val="center"/>
              <w:rPr/>
            </w:pPr>
            <w:r>
              <w:rPr/>
              <w:t>d.lgs. 33/2013</w:t>
            </w:r>
          </w:p>
        </w:tc>
        <w:tc>
          <w:tcPr>
            <w:tcW w:w="2268" w:type="dxa"/>
            <w:tcBorders/>
            <w:vAlign w:val="center"/>
          </w:tcPr>
          <w:p>
            <w:pPr>
              <w:pStyle w:val="Intestazione"/>
              <w:jc w:val="center"/>
              <w:rPr/>
            </w:pPr>
            <w:r>
              <w:rPr/>
              <w:t>Canoni di locazione e affitto</w:t>
            </w:r>
          </w:p>
        </w:tc>
        <w:tc>
          <w:tcPr>
            <w:tcW w:w="5670" w:type="dxa"/>
            <w:tcBorders/>
            <w:vAlign w:val="center"/>
          </w:tcPr>
          <w:p>
            <w:pPr>
              <w:pStyle w:val="Intestazione"/>
              <w:jc w:val="both"/>
              <w:rPr/>
            </w:pPr>
            <w:r>
              <w:rPr/>
              <w:t>Canoni di locazione o di affitto versati o percepiti</w:t>
            </w:r>
          </w:p>
        </w:tc>
        <w:tc>
          <w:tcPr>
            <w:tcW w:w="1134" w:type="dxa"/>
            <w:tcBorders/>
            <w:vAlign w:val="center"/>
          </w:tcPr>
          <w:p>
            <w:pPr>
              <w:pStyle w:val="Normal"/>
              <w:jc w:val="center"/>
              <w:rPr/>
            </w:pPr>
            <w:r>
              <w:rPr/>
              <w:t>Tempestivo</w:t>
            </w:r>
          </w:p>
          <w:p>
            <w:pPr>
              <w:pStyle w:val="Intestazione"/>
              <w:jc w:val="center"/>
              <w:rPr/>
            </w:pPr>
            <w:r>
              <w:rPr/>
              <w:t>ex art. 8,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Controlli e rilievi</w:t>
            </w:r>
          </w:p>
          <w:p>
            <w:pPr>
              <w:pStyle w:val="Intestazione"/>
              <w:jc w:val="center"/>
              <w:rPr>
                <w:rFonts w:ascii="Berlin Sans FB Demi" w:hAnsi="Berlin Sans FB Demi"/>
                <w:b/>
                <w:b/>
              </w:rPr>
            </w:pPr>
            <w:r>
              <w:rPr>
                <w:rFonts w:ascii="Berlin Sans FB Demi" w:hAnsi="Berlin Sans FB Demi"/>
                <w:b/>
              </w:rPr>
              <w:t>sull'</w:t>
            </w:r>
          </w:p>
          <w:p>
            <w:pPr>
              <w:pStyle w:val="Intestazione"/>
              <w:jc w:val="center"/>
              <w:rPr>
                <w:b/>
                <w:b/>
              </w:rPr>
            </w:pPr>
            <w:r>
              <w:rPr>
                <w:rFonts w:ascii="Berlin Sans FB Demi" w:hAnsi="Berlin Sans FB Demi"/>
                <w:b/>
              </w:rPr>
              <w:t>amministrazione</w:t>
            </w:r>
          </w:p>
        </w:tc>
        <w:tc>
          <w:tcPr>
            <w:tcW w:w="1701" w:type="dxa"/>
            <w:vMerge w:val="restart"/>
            <w:tcBorders/>
            <w:vAlign w:val="center"/>
          </w:tcPr>
          <w:p>
            <w:pPr>
              <w:pStyle w:val="Intestazione"/>
              <w:jc w:val="center"/>
              <w:rPr>
                <w:b/>
                <w:b/>
              </w:rPr>
            </w:pPr>
            <w:r>
              <w:rPr>
                <w:b/>
              </w:rPr>
              <w:t>Organismi indipendenti di valutazione, nuclei di valutazione o altri organismi con funzioni analoghe</w:t>
            </w:r>
          </w:p>
        </w:tc>
        <w:tc>
          <w:tcPr>
            <w:tcW w:w="1134" w:type="dxa"/>
            <w:vMerge w:val="restart"/>
            <w:tcBorders/>
            <w:vAlign w:val="center"/>
          </w:tcPr>
          <w:p>
            <w:pPr>
              <w:pStyle w:val="Intestazione"/>
              <w:jc w:val="center"/>
              <w:rPr/>
            </w:pPr>
            <w:r>
              <w:rPr/>
              <w:t>art. 31</w:t>
            </w:r>
          </w:p>
          <w:p>
            <w:pPr>
              <w:pStyle w:val="Intestazione"/>
              <w:jc w:val="center"/>
              <w:rPr/>
            </w:pPr>
            <w:r>
              <w:rPr/>
              <w:t>d.lgs. 33/2013</w:t>
            </w:r>
          </w:p>
        </w:tc>
        <w:tc>
          <w:tcPr>
            <w:tcW w:w="2268" w:type="dxa"/>
            <w:vMerge w:val="restart"/>
            <w:tcBorders/>
            <w:vAlign w:val="center"/>
          </w:tcPr>
          <w:p>
            <w:pPr>
              <w:pStyle w:val="Intestazione"/>
              <w:jc w:val="center"/>
              <w:rPr/>
            </w:pPr>
            <w:r>
              <w:rPr/>
              <w:t>Atti degli Organismi indipendenti di valutazione, nuclei di valutazione o altri organismi con funzioni analoghe</w:t>
            </w:r>
          </w:p>
        </w:tc>
        <w:tc>
          <w:tcPr>
            <w:tcW w:w="5670" w:type="dxa"/>
            <w:tcBorders/>
            <w:vAlign w:val="center"/>
          </w:tcPr>
          <w:p>
            <w:pPr>
              <w:pStyle w:val="Intestazione"/>
              <w:jc w:val="both"/>
              <w:rPr/>
            </w:pPr>
            <w:r>
              <w:rPr/>
              <w:t>Attestazione dell'OIV o di altra struttura analoga nell'assolvimento degli obblighi di pubblicazione</w:t>
            </w:r>
          </w:p>
        </w:tc>
        <w:tc>
          <w:tcPr>
            <w:tcW w:w="1134" w:type="dxa"/>
            <w:tcBorders/>
            <w:vAlign w:val="center"/>
          </w:tcPr>
          <w:p>
            <w:pPr>
              <w:pStyle w:val="Intestazione"/>
              <w:jc w:val="center"/>
              <w:rPr/>
            </w:pPr>
            <w:r>
              <w:rPr/>
              <w:t>Annuale e in relazione a delibere A.N.AC.</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Documento dell'OIV di validazione della Relazione sulla Performance (art. 14, c. 4, lett. c), d.lgs. n. 150/2009)</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Relazione dell'OIV sul funzionamento complessivo del Sistema di valutazione, trasparenza e integrità dei controlli interni (art. 14, c. 4, lett. a), d.lgs. n. 150/2009)</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Altri atti degli organismi indipendenti di valutazione , nuclei di valutazione o altri organismi con funzioni analoghe, procedendo all'indicazione in forma anonima dei dati personali eventualmente presenti</w:t>
            </w:r>
          </w:p>
        </w:tc>
        <w:tc>
          <w:tcPr>
            <w:tcW w:w="1134" w:type="dxa"/>
            <w:tcBorders/>
            <w:vAlign w:val="center"/>
          </w:tcPr>
          <w:p>
            <w:pPr>
              <w:pStyle w:val="Intestazione"/>
              <w:jc w:val="center"/>
              <w:rPr/>
            </w:pPr>
            <w:r>
              <w:rPr/>
              <w:t>Tempestivo</w:t>
            </w:r>
          </w:p>
          <w:p>
            <w:pPr>
              <w:pStyle w:val="Intestazione"/>
              <w:jc w:val="center"/>
              <w:rPr/>
            </w:pPr>
            <w:r>
              <w:rPr/>
              <w:t xml:space="preserve">ex art. 8, </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Intestazione"/>
              <w:jc w:val="center"/>
              <w:rPr>
                <w:b/>
                <w:b/>
              </w:rPr>
            </w:pPr>
            <w:r>
              <w:rPr>
                <w:b/>
              </w:rPr>
              <w:t>Organi di revisione</w:t>
            </w:r>
          </w:p>
          <w:p>
            <w:pPr>
              <w:pStyle w:val="Intestazione"/>
              <w:jc w:val="center"/>
              <w:rPr>
                <w:b/>
                <w:b/>
              </w:rPr>
            </w:pPr>
            <w:r>
              <w:rPr>
                <w:b/>
              </w:rPr>
              <w:t>amministrativa e contabile</w:t>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Relazioni degli organi di revisione</w:t>
            </w:r>
          </w:p>
          <w:p>
            <w:pPr>
              <w:pStyle w:val="Intestazione"/>
              <w:jc w:val="center"/>
              <w:rPr/>
            </w:pPr>
            <w:r>
              <w:rPr/>
              <w:t>amministrativa e contabile</w:t>
            </w:r>
          </w:p>
        </w:tc>
        <w:tc>
          <w:tcPr>
            <w:tcW w:w="5670" w:type="dxa"/>
            <w:tcBorders/>
            <w:vAlign w:val="center"/>
          </w:tcPr>
          <w:p>
            <w:pPr>
              <w:pStyle w:val="Intestazione"/>
              <w:jc w:val="both"/>
              <w:rPr/>
            </w:pPr>
            <w:r>
              <w:rPr/>
              <w:t>Relazioni degli organi di revisione amministrativa e contabile al bilancio di previsione o budget, alle relative variazioni e al conto consuntivo o bilancio di esercizio</w:t>
            </w:r>
          </w:p>
        </w:tc>
        <w:tc>
          <w:tcPr>
            <w:tcW w:w="1134" w:type="dxa"/>
            <w:tcBorders/>
            <w:vAlign w:val="center"/>
          </w:tcPr>
          <w:p>
            <w:pPr>
              <w:pStyle w:val="Intestazione"/>
              <w:jc w:val="center"/>
              <w:rPr/>
            </w:pPr>
            <w:r>
              <w:rPr/>
              <w:t>Tempestivo</w:t>
            </w:r>
          </w:p>
          <w:p>
            <w:pPr>
              <w:pStyle w:val="Intestazione"/>
              <w:jc w:val="center"/>
              <w:rPr/>
            </w:pPr>
            <w:r>
              <w:rPr/>
              <w:t xml:space="preserve">ex art. 8, </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Intestazione"/>
              <w:jc w:val="center"/>
              <w:rPr>
                <w:b/>
                <w:b/>
              </w:rPr>
            </w:pPr>
            <w:r>
              <w:rPr>
                <w:b/>
              </w:rPr>
              <w:t>Corte dei Conti</w:t>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Rilievi Corte dei Conti</w:t>
            </w:r>
          </w:p>
        </w:tc>
        <w:tc>
          <w:tcPr>
            <w:tcW w:w="5670" w:type="dxa"/>
            <w:tcBorders/>
            <w:vAlign w:val="center"/>
          </w:tcPr>
          <w:p>
            <w:pPr>
              <w:pStyle w:val="Intestazione"/>
              <w:jc w:val="both"/>
              <w:rPr/>
            </w:pPr>
            <w:r>
              <w:rPr/>
              <w:t>Tutti i rilievi della Corte dei conti ancorchè non recepiti riguardanti l'organizzazione e l'attività delle amministrazioni stesse e dei loro uffici</w:t>
            </w:r>
          </w:p>
        </w:tc>
        <w:tc>
          <w:tcPr>
            <w:tcW w:w="1134" w:type="dxa"/>
            <w:tcBorders/>
            <w:vAlign w:val="center"/>
          </w:tcPr>
          <w:p>
            <w:pPr>
              <w:pStyle w:val="Intestazione"/>
              <w:jc w:val="center"/>
              <w:rPr/>
            </w:pPr>
            <w:r>
              <w:rPr/>
              <w:t>Tempestivo</w:t>
            </w:r>
          </w:p>
          <w:p>
            <w:pPr>
              <w:pStyle w:val="Intestazione"/>
              <w:jc w:val="center"/>
              <w:rPr/>
            </w:pPr>
            <w:r>
              <w:rPr/>
              <w:t xml:space="preserve">ex art. 8, </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Servizi erogati</w:t>
            </w:r>
          </w:p>
        </w:tc>
        <w:tc>
          <w:tcPr>
            <w:tcW w:w="1701" w:type="dxa"/>
            <w:tcBorders/>
            <w:vAlign w:val="center"/>
          </w:tcPr>
          <w:p>
            <w:pPr>
              <w:pStyle w:val="Intestazione"/>
              <w:jc w:val="center"/>
              <w:rPr>
                <w:b/>
                <w:b/>
              </w:rPr>
            </w:pPr>
            <w:r>
              <w:rPr>
                <w:b/>
              </w:rPr>
              <w:t>Carta dei servizi e</w:t>
            </w:r>
          </w:p>
          <w:p>
            <w:pPr>
              <w:pStyle w:val="Intestazione"/>
              <w:jc w:val="center"/>
              <w:rPr>
                <w:b/>
                <w:b/>
              </w:rPr>
            </w:pPr>
            <w:r>
              <w:rPr>
                <w:b/>
              </w:rPr>
              <w:t>standard di qualità</w:t>
            </w:r>
          </w:p>
        </w:tc>
        <w:tc>
          <w:tcPr>
            <w:tcW w:w="1134" w:type="dxa"/>
            <w:tcBorders/>
            <w:vAlign w:val="center"/>
          </w:tcPr>
          <w:p>
            <w:pPr>
              <w:pStyle w:val="Intestazione"/>
              <w:jc w:val="center"/>
              <w:rPr>
                <w:lang w:val="en-GB"/>
              </w:rPr>
            </w:pPr>
            <w:r>
              <w:rPr>
                <w:lang w:val="en-GB"/>
              </w:rPr>
              <w:t>art. 32, c. 1</w:t>
            </w:r>
          </w:p>
        </w:tc>
        <w:tc>
          <w:tcPr>
            <w:tcW w:w="2268" w:type="dxa"/>
            <w:tcBorders/>
            <w:vAlign w:val="center"/>
          </w:tcPr>
          <w:p>
            <w:pPr>
              <w:pStyle w:val="Intestazione"/>
              <w:jc w:val="center"/>
              <w:rPr/>
            </w:pPr>
            <w:r>
              <w:rPr/>
              <w:t>Carta dei servizi e standard di qualità</w:t>
            </w:r>
          </w:p>
        </w:tc>
        <w:tc>
          <w:tcPr>
            <w:tcW w:w="5670" w:type="dxa"/>
            <w:tcBorders/>
            <w:vAlign w:val="center"/>
          </w:tcPr>
          <w:p>
            <w:pPr>
              <w:pStyle w:val="Intestazione"/>
              <w:jc w:val="both"/>
              <w:rPr/>
            </w:pPr>
            <w:r>
              <w:rPr/>
              <w:t>Carta dei servizi o documento contenente gli standard di qualità dei servizi pubblici</w:t>
            </w:r>
          </w:p>
        </w:tc>
        <w:tc>
          <w:tcPr>
            <w:tcW w:w="1134" w:type="dxa"/>
            <w:tcBorders/>
            <w:vAlign w:val="center"/>
          </w:tcPr>
          <w:p>
            <w:pPr>
              <w:pStyle w:val="Intestazione"/>
              <w:jc w:val="center"/>
              <w:rPr/>
            </w:pPr>
            <w:r>
              <w:rPr/>
              <w:t>Tempestivo</w:t>
            </w:r>
          </w:p>
          <w:p>
            <w:pPr>
              <w:pStyle w:val="Intestazione"/>
              <w:jc w:val="center"/>
              <w:rPr/>
            </w:pPr>
            <w:r>
              <w:rPr/>
              <w:t xml:space="preserve">ex art. 8, </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jc w:val="center"/>
              <w:rPr>
                <w:b/>
                <w:b/>
                <w:lang w:val="en-GB"/>
              </w:rPr>
            </w:pPr>
            <w:r>
              <w:rPr>
                <w:b/>
                <w:lang w:val="en-GB"/>
              </w:rPr>
              <w:t>Class action</w:t>
            </w:r>
          </w:p>
        </w:tc>
        <w:tc>
          <w:tcPr>
            <w:tcW w:w="1134" w:type="dxa"/>
            <w:tcBorders/>
            <w:vAlign w:val="center"/>
          </w:tcPr>
          <w:p>
            <w:pPr>
              <w:pStyle w:val="Intestazione"/>
              <w:jc w:val="center"/>
              <w:rPr/>
            </w:pPr>
            <w:r>
              <w:rPr/>
              <w:t>art. 1, c. 2</w:t>
            </w:r>
          </w:p>
          <w:p>
            <w:pPr>
              <w:pStyle w:val="Intestazione"/>
              <w:jc w:val="center"/>
              <w:rPr/>
            </w:pPr>
            <w:r>
              <w:rPr/>
              <w:t>d.lgs. 198/2009</w:t>
            </w:r>
          </w:p>
        </w:tc>
        <w:tc>
          <w:tcPr>
            <w:tcW w:w="2268" w:type="dxa"/>
            <w:vMerge w:val="restart"/>
            <w:tcBorders/>
            <w:vAlign w:val="center"/>
          </w:tcPr>
          <w:p>
            <w:pPr>
              <w:pStyle w:val="Intestazione"/>
              <w:jc w:val="center"/>
              <w:rPr/>
            </w:pPr>
            <w:r>
              <w:rPr/>
              <w:t>Class action</w:t>
            </w:r>
          </w:p>
        </w:tc>
        <w:tc>
          <w:tcPr>
            <w:tcW w:w="5670" w:type="dxa"/>
            <w:tcBorders/>
            <w:vAlign w:val="center"/>
          </w:tcPr>
          <w:p>
            <w:pPr>
              <w:pStyle w:val="Intestazione"/>
              <w:jc w:val="both"/>
              <w:rPr/>
            </w:pPr>
            <w:r>
              <w:rPr/>
              <w:t>Notizia del ricorso in giudizio proposto dai titolari di interessi giuridicamente rilevanti ed omogenei nei confronti delle amministrazioni e dei concessionari di servizio pubblico al fine di ripristinare il corretto svolgimento della funzione o la corretta erogazione  di  un  servizio</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4, c. 2</w:t>
            </w:r>
          </w:p>
          <w:p>
            <w:pPr>
              <w:pStyle w:val="Intestazione"/>
              <w:jc w:val="center"/>
              <w:rPr/>
            </w:pPr>
            <w:r>
              <w:rPr/>
              <w:t>d.lgs. 198/2009</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Sentenza di definizione del giudizio</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4, c. 6</w:t>
            </w:r>
          </w:p>
          <w:p>
            <w:pPr>
              <w:pStyle w:val="Intestazione"/>
              <w:jc w:val="center"/>
              <w:rPr/>
            </w:pPr>
            <w:r>
              <w:rPr/>
              <w:t>d.lgs. 198/2009</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Misure adottate in ottemperanza alla sentenza</w:t>
            </w:r>
          </w:p>
        </w:tc>
        <w:tc>
          <w:tcPr>
            <w:tcW w:w="1134" w:type="dxa"/>
            <w:tcBorders/>
            <w:vAlign w:val="center"/>
          </w:tcPr>
          <w:p>
            <w:pPr>
              <w:pStyle w:val="Intestazione"/>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Normal"/>
              <w:jc w:val="center"/>
              <w:rPr>
                <w:b/>
                <w:b/>
              </w:rPr>
            </w:pPr>
            <w:r>
              <w:rPr>
                <w:b/>
              </w:rPr>
              <w:t>Costi contabilizzati</w:t>
            </w:r>
          </w:p>
        </w:tc>
        <w:tc>
          <w:tcPr>
            <w:tcW w:w="1134" w:type="dxa"/>
            <w:tcBorders/>
            <w:vAlign w:val="center"/>
          </w:tcPr>
          <w:p>
            <w:pPr>
              <w:pStyle w:val="Normal"/>
              <w:jc w:val="center"/>
              <w:rPr>
                <w:lang w:val="en-GB"/>
              </w:rPr>
            </w:pPr>
            <w:r>
              <w:rPr>
                <w:lang w:val="en-GB"/>
              </w:rPr>
              <w:t>art. 32, c. 2, lett. a); art. 10, c. 5,</w:t>
            </w:r>
          </w:p>
          <w:p>
            <w:pPr>
              <w:pStyle w:val="Normal"/>
              <w:jc w:val="center"/>
              <w:rPr>
                <w:lang w:val="en-GB"/>
              </w:rPr>
            </w:pPr>
            <w:r>
              <w:rPr>
                <w:lang w:val="en-GB"/>
              </w:rPr>
              <w:t xml:space="preserve"> </w:t>
            </w:r>
            <w:r>
              <w:rPr>
                <w:lang w:val="en-GB"/>
              </w:rPr>
              <w:t>d.lgs. n. 33/2013</w:t>
            </w:r>
          </w:p>
        </w:tc>
        <w:tc>
          <w:tcPr>
            <w:tcW w:w="2268" w:type="dxa"/>
            <w:tcBorders/>
            <w:vAlign w:val="center"/>
          </w:tcPr>
          <w:p>
            <w:pPr>
              <w:pStyle w:val="Normal"/>
              <w:jc w:val="center"/>
              <w:rPr/>
            </w:pPr>
            <w:r>
              <w:rPr/>
              <w:t>Costi contabilizzati</w:t>
            </w:r>
          </w:p>
          <w:p>
            <w:pPr>
              <w:pStyle w:val="Normal"/>
              <w:jc w:val="center"/>
              <w:rPr/>
            </w:pPr>
            <w:r>
              <w:rPr/>
              <w:t>(da pubblicare in tabelle)</w:t>
            </w:r>
          </w:p>
        </w:tc>
        <w:tc>
          <w:tcPr>
            <w:tcW w:w="5670" w:type="dxa"/>
            <w:tcBorders/>
            <w:vAlign w:val="center"/>
          </w:tcPr>
          <w:p>
            <w:pPr>
              <w:pStyle w:val="Normal"/>
              <w:jc w:val="center"/>
              <w:rPr/>
            </w:pPr>
            <w:r>
              <w:rPr/>
              <w:t>Costi contabilizzati dei servizi erogati agli utenti, sia finali che intermedi e il relativo andamento nel tempo</w:t>
            </w:r>
          </w:p>
        </w:tc>
        <w:tc>
          <w:tcPr>
            <w:tcW w:w="1134" w:type="dxa"/>
            <w:tcBorders/>
            <w:vAlign w:val="center"/>
          </w:tcPr>
          <w:p>
            <w:pPr>
              <w:pStyle w:val="Normal"/>
              <w:jc w:val="center"/>
              <w:rPr>
                <w:lang w:val="en-GB"/>
              </w:rPr>
            </w:pPr>
            <w:r>
              <w:rPr>
                <w:lang w:val="en-GB"/>
              </w:rPr>
              <w:t>Annuale</w:t>
            </w:r>
          </w:p>
          <w:p>
            <w:pPr>
              <w:pStyle w:val="Normal"/>
              <w:jc w:val="center"/>
              <w:rPr>
                <w:lang w:val="en-GB"/>
              </w:rPr>
            </w:pPr>
            <w:r>
              <w:rPr>
                <w:lang w:val="en-GB"/>
              </w:rPr>
              <w:t>art. 10, c. 5,</w:t>
            </w:r>
          </w:p>
          <w:p>
            <w:pPr>
              <w:pStyle w:val="Normal"/>
              <w:jc w:val="center"/>
              <w:rPr>
                <w:lang w:val="en-GB"/>
              </w:rPr>
            </w:pPr>
            <w:r>
              <w:rPr>
                <w:lang w:val="en-GB"/>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Normal"/>
              <w:jc w:val="center"/>
              <w:rPr>
                <w:b/>
                <w:b/>
              </w:rPr>
            </w:pPr>
            <w:r>
              <w:rPr>
                <w:b/>
              </w:rPr>
              <w:t>Liste di attesa</w:t>
            </w:r>
          </w:p>
        </w:tc>
        <w:tc>
          <w:tcPr>
            <w:tcW w:w="1134" w:type="dxa"/>
            <w:tcBorders/>
            <w:vAlign w:val="center"/>
          </w:tcPr>
          <w:p>
            <w:pPr>
              <w:pStyle w:val="Normal"/>
              <w:jc w:val="center"/>
              <w:rPr/>
            </w:pPr>
            <w:r>
              <w:rPr/>
              <w:t>Art. 41, c. 6, d.lgs. n. 33/2013</w:t>
            </w:r>
          </w:p>
        </w:tc>
        <w:tc>
          <w:tcPr>
            <w:tcW w:w="2268" w:type="dxa"/>
            <w:tcBorders/>
            <w:vAlign w:val="center"/>
          </w:tcPr>
          <w:p>
            <w:pPr>
              <w:pStyle w:val="Normal"/>
              <w:jc w:val="center"/>
              <w:rPr/>
            </w:pPr>
            <w:r>
              <w:rPr/>
              <w:t>Liste di attesa</w:t>
            </w:r>
          </w:p>
          <w:p>
            <w:pPr>
              <w:pStyle w:val="Normal"/>
              <w:jc w:val="center"/>
              <w:rPr/>
            </w:pPr>
            <w:r>
              <w:rPr/>
              <w:t>(obbligo di pubblicazione a carico di enti, aziende e strutture pubbliche e private che erogano prestazioni per conto del servizio sanitario)</w:t>
            </w:r>
          </w:p>
          <w:p>
            <w:pPr>
              <w:pStyle w:val="Normal"/>
              <w:jc w:val="center"/>
              <w:rPr/>
            </w:pPr>
            <w:r>
              <w:rPr/>
              <w:t>(da pubblicare in tabelle)</w:t>
            </w:r>
          </w:p>
        </w:tc>
        <w:tc>
          <w:tcPr>
            <w:tcW w:w="5670" w:type="dxa"/>
            <w:tcBorders/>
            <w:vAlign w:val="center"/>
          </w:tcPr>
          <w:p>
            <w:pPr>
              <w:pStyle w:val="Normal"/>
              <w:jc w:val="center"/>
              <w:rPr/>
            </w:pPr>
            <w:r>
              <w:rPr/>
              <w:t>Criteri di formazione delle liste di attesa,  tempi di attesa previsti e tempi medi effettivi di attesa per ciascuna tipologia di prestazione erogata</w:t>
            </w:r>
          </w:p>
        </w:tc>
        <w:tc>
          <w:tcPr>
            <w:tcW w:w="1134" w:type="dxa"/>
            <w:tcBorders/>
            <w:vAlign w:val="center"/>
          </w:tcPr>
          <w:p>
            <w:pPr>
              <w:pStyle w:val="Normal"/>
              <w:jc w:val="center"/>
              <w:rPr/>
            </w:pPr>
            <w:r>
              <w:rPr/>
              <w:t>Tempestivo (ex art. 8, 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Normal"/>
              <w:jc w:val="center"/>
              <w:rPr>
                <w:b/>
                <w:b/>
              </w:rPr>
            </w:pPr>
            <w:r>
              <w:rPr>
                <w:b/>
              </w:rPr>
              <w:t>Servizi in rete</w:t>
            </w:r>
          </w:p>
        </w:tc>
        <w:tc>
          <w:tcPr>
            <w:tcW w:w="1134" w:type="dxa"/>
            <w:tcBorders/>
            <w:vAlign w:val="center"/>
          </w:tcPr>
          <w:p>
            <w:pPr>
              <w:pStyle w:val="Normal"/>
              <w:jc w:val="center"/>
              <w:rPr>
                <w:lang w:val="en-GB"/>
              </w:rPr>
            </w:pPr>
            <w:r>
              <w:rPr>
                <w:lang w:val="en-GB"/>
              </w:rPr>
              <w:t>Art. 7 co. 3 d.lgs. 82/2005 modificato dall’art. 8 co. 1 del d.lgs. 179/16</w:t>
            </w:r>
          </w:p>
        </w:tc>
        <w:tc>
          <w:tcPr>
            <w:tcW w:w="2268" w:type="dxa"/>
            <w:tcBorders/>
            <w:vAlign w:val="center"/>
          </w:tcPr>
          <w:p>
            <w:pPr>
              <w:pStyle w:val="Normal"/>
              <w:jc w:val="center"/>
              <w:rPr/>
            </w:pPr>
            <w:r>
              <w:rPr/>
              <w:t>Risultati delle indagini sulla soddisfazione da parte degli utenti rispetto alla qualità dei servizi in rete e statistiche di utilizzo dei servizi in rete</w:t>
            </w:r>
          </w:p>
        </w:tc>
        <w:tc>
          <w:tcPr>
            <w:tcW w:w="5670" w:type="dxa"/>
            <w:tcBorders/>
            <w:vAlign w:val="center"/>
          </w:tcPr>
          <w:p>
            <w:pPr>
              <w:pStyle w:val="Normal"/>
              <w:jc w:val="center"/>
              <w:rPr/>
            </w:pPr>
            <w:r>
              <w:rPr/>
              <w:t>Risultati delle rilevazioni sulla soddisfazione da parte degli utenti rispetto alla qualità dei servizi in rete resi all’utente, anche  in  termini  di   fruibilità,   accessibilità  e tempestività, statistiche di utilizzo dei servizi in rete.</w:t>
            </w:r>
          </w:p>
        </w:tc>
        <w:tc>
          <w:tcPr>
            <w:tcW w:w="1134" w:type="dxa"/>
            <w:tcBorders/>
            <w:vAlign w:val="center"/>
          </w:tcPr>
          <w:p>
            <w:pPr>
              <w:pStyle w:val="Normal"/>
              <w:jc w:val="center"/>
              <w:rPr/>
            </w:pPr>
            <w:r>
              <w:rPr/>
              <w:t>Tempestivo</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Normal"/>
              <w:jc w:val="center"/>
              <w:rPr>
                <w:b/>
                <w:b/>
              </w:rPr>
            </w:pPr>
            <w:r>
              <w:rPr>
                <w:w w:val="115"/>
              </w:rPr>
              <w:t>Pubblicazione</w:t>
              <w:tab/>
              <w:tab/>
            </w:r>
            <w:r>
              <w:rPr>
                <w:spacing w:val="-1"/>
                <w:w w:val="115"/>
              </w:rPr>
              <w:t>del</w:t>
            </w:r>
            <w:r>
              <w:rPr>
                <w:spacing w:val="-44"/>
                <w:w w:val="115"/>
              </w:rPr>
              <w:t xml:space="preserve"> </w:t>
            </w:r>
            <w:r>
              <w:rPr>
                <w:w w:val="115"/>
              </w:rPr>
              <w:t>collegamento</w:t>
              <w:tab/>
              <w:t>ipertestuale</w:t>
            </w:r>
            <w:r>
              <w:rPr>
                <w:spacing w:val="-44"/>
                <w:w w:val="115"/>
              </w:rPr>
              <w:t xml:space="preserve"> </w:t>
            </w:r>
            <w:r>
              <w:rPr>
                <w:w w:val="115"/>
              </w:rPr>
              <w:t>alla</w:t>
            </w:r>
            <w:r>
              <w:rPr>
                <w:spacing w:val="1"/>
                <w:w w:val="115"/>
              </w:rPr>
              <w:t xml:space="preserve"> </w:t>
            </w:r>
            <w:r>
              <w:rPr>
                <w:w w:val="115"/>
              </w:rPr>
              <w:t>sezione</w:t>
            </w:r>
            <w:r>
              <w:rPr>
                <w:spacing w:val="1"/>
                <w:w w:val="115"/>
              </w:rPr>
              <w:t xml:space="preserve"> </w:t>
            </w:r>
            <w:r>
              <w:rPr>
                <w:w w:val="115"/>
              </w:rPr>
              <w:t>del</w:t>
            </w:r>
            <w:r>
              <w:rPr>
                <w:spacing w:val="1"/>
                <w:w w:val="115"/>
              </w:rPr>
              <w:t xml:space="preserve"> </w:t>
            </w:r>
            <w:r>
              <w:rPr>
                <w:w w:val="115"/>
              </w:rPr>
              <w:t>sito</w:t>
            </w:r>
            <w:r>
              <w:rPr>
                <w:spacing w:val="1"/>
                <w:w w:val="115"/>
              </w:rPr>
              <w:t xml:space="preserve"> </w:t>
            </w:r>
            <w:r>
              <w:rPr>
                <w:w w:val="115"/>
              </w:rPr>
              <w:t>istituzionale</w:t>
            </w:r>
            <w:r>
              <w:rPr>
                <w:spacing w:val="1"/>
                <w:w w:val="115"/>
              </w:rPr>
              <w:t xml:space="preserve"> </w:t>
            </w:r>
            <w:r>
              <w:rPr>
                <w:w w:val="115"/>
              </w:rPr>
              <w:t xml:space="preserve">dedicata </w:t>
            </w:r>
            <w:r>
              <w:rPr>
                <w:spacing w:val="1"/>
                <w:w w:val="115"/>
              </w:rPr>
              <w:t xml:space="preserve"> </w:t>
            </w:r>
            <w:r>
              <w:rPr>
                <w:w w:val="115"/>
              </w:rPr>
              <w:t>al</w:t>
            </w:r>
            <w:r>
              <w:rPr>
                <w:spacing w:val="1"/>
                <w:w w:val="115"/>
              </w:rPr>
              <w:t xml:space="preserve"> </w:t>
            </w:r>
            <w:r>
              <w:rPr>
                <w:w w:val="115"/>
              </w:rPr>
              <w:t>servizio</w:t>
            </w:r>
            <w:r>
              <w:rPr>
                <w:spacing w:val="1"/>
                <w:w w:val="115"/>
              </w:rPr>
              <w:t xml:space="preserve"> </w:t>
            </w:r>
            <w:r>
              <w:rPr>
                <w:w w:val="115"/>
              </w:rPr>
              <w:t>di</w:t>
            </w:r>
            <w:r>
              <w:rPr>
                <w:spacing w:val="1"/>
                <w:w w:val="115"/>
              </w:rPr>
              <w:t xml:space="preserve"> </w:t>
            </w:r>
            <w:r>
              <w:rPr>
                <w:w w:val="115"/>
              </w:rPr>
              <w:t>gestione</w:t>
            </w:r>
            <w:r>
              <w:rPr>
                <w:spacing w:val="1"/>
                <w:w w:val="115"/>
              </w:rPr>
              <w:t xml:space="preserve"> </w:t>
            </w:r>
            <w:r>
              <w:rPr>
                <w:w w:val="115"/>
              </w:rPr>
              <w:t>dei</w:t>
            </w:r>
            <w:r>
              <w:rPr>
                <w:spacing w:val="1"/>
                <w:w w:val="115"/>
              </w:rPr>
              <w:t xml:space="preserve"> </w:t>
            </w:r>
            <w:r>
              <w:rPr>
                <w:w w:val="115"/>
              </w:rPr>
              <w:t>rifiuti,</w:t>
            </w:r>
            <w:r>
              <w:rPr>
                <w:spacing w:val="-43"/>
                <w:w w:val="115"/>
              </w:rPr>
              <w:t xml:space="preserve"> </w:t>
            </w:r>
            <w:r>
              <w:rPr>
                <w:w w:val="115"/>
              </w:rPr>
              <w:t>costituita</w:t>
            </w:r>
            <w:r>
              <w:rPr>
                <w:spacing w:val="1"/>
                <w:w w:val="115"/>
              </w:rPr>
              <w:t xml:space="preserve"> ex </w:t>
            </w:r>
            <w:r>
              <w:rPr>
                <w:w w:val="115"/>
              </w:rPr>
              <w:t>deliberazione</w:t>
            </w:r>
            <w:r>
              <w:rPr>
                <w:spacing w:val="1"/>
                <w:w w:val="115"/>
              </w:rPr>
              <w:t xml:space="preserve"> </w:t>
            </w:r>
            <w:r>
              <w:rPr>
                <w:w w:val="115"/>
              </w:rPr>
              <w:t xml:space="preserve">ARERA </w:t>
            </w:r>
            <w:r>
              <w:rPr>
                <w:spacing w:val="1"/>
                <w:w w:val="115"/>
              </w:rPr>
              <w:t xml:space="preserve"> </w:t>
            </w:r>
            <w:r>
              <w:rPr>
                <w:w w:val="115"/>
              </w:rPr>
              <w:t xml:space="preserve">n. </w:t>
            </w:r>
            <w:r>
              <w:rPr>
                <w:spacing w:val="1"/>
                <w:w w:val="115"/>
              </w:rPr>
              <w:t xml:space="preserve"> </w:t>
            </w:r>
            <w:r>
              <w:rPr>
                <w:w w:val="115"/>
              </w:rPr>
              <w:t>444</w:t>
            </w:r>
            <w:r>
              <w:rPr>
                <w:spacing w:val="1"/>
                <w:w w:val="115"/>
              </w:rPr>
              <w:t xml:space="preserve"> </w:t>
            </w:r>
            <w:r>
              <w:rPr>
                <w:w w:val="115"/>
              </w:rPr>
              <w:t>del</w:t>
            </w:r>
            <w:r>
              <w:rPr>
                <w:spacing w:val="15"/>
                <w:w w:val="115"/>
              </w:rPr>
              <w:t xml:space="preserve"> </w:t>
            </w:r>
            <w:r>
              <w:rPr>
                <w:w w:val="115"/>
              </w:rPr>
              <w:t>31</w:t>
            </w:r>
            <w:r>
              <w:rPr>
                <w:spacing w:val="13"/>
                <w:w w:val="115"/>
              </w:rPr>
              <w:t xml:space="preserve"> </w:t>
            </w:r>
            <w:r>
              <w:rPr>
                <w:w w:val="115"/>
              </w:rPr>
              <w:t>ottobre</w:t>
            </w:r>
            <w:r>
              <w:rPr>
                <w:spacing w:val="14"/>
                <w:w w:val="115"/>
              </w:rPr>
              <w:t xml:space="preserve"> </w:t>
            </w:r>
            <w:r>
              <w:rPr>
                <w:w w:val="115"/>
              </w:rPr>
              <w:t>2019</w:t>
            </w:r>
          </w:p>
        </w:tc>
        <w:tc>
          <w:tcPr>
            <w:tcW w:w="1134" w:type="dxa"/>
            <w:tcBorders/>
            <w:vAlign w:val="center"/>
          </w:tcPr>
          <w:p>
            <w:pPr>
              <w:pStyle w:val="Normal"/>
              <w:jc w:val="center"/>
              <w:rPr>
                <w:lang w:val="en-GB"/>
              </w:rPr>
            </w:pPr>
            <w:r>
              <w:rPr>
                <w:lang w:val="en-GB"/>
              </w:rPr>
              <w:t>Delibera ANAC</w:t>
            </w:r>
          </w:p>
          <w:p>
            <w:pPr>
              <w:pStyle w:val="Normal"/>
              <w:jc w:val="center"/>
              <w:rPr>
                <w:lang w:val="en-GB"/>
              </w:rPr>
            </w:pPr>
            <w:r>
              <w:rPr>
                <w:lang w:val="en-GB"/>
              </w:rPr>
              <w:t>n. 803 del 07/10/2020</w:t>
            </w:r>
          </w:p>
        </w:tc>
        <w:tc>
          <w:tcPr>
            <w:tcW w:w="2268" w:type="dxa"/>
            <w:tcBorders/>
            <w:vAlign w:val="center"/>
          </w:tcPr>
          <w:p>
            <w:pPr>
              <w:pStyle w:val="Normal"/>
              <w:jc w:val="center"/>
              <w:rPr>
                <w:i/>
                <w:i/>
              </w:rPr>
            </w:pPr>
            <w:r>
              <w:rPr>
                <w:i/>
              </w:rPr>
              <w:t xml:space="preserve">(si rinvia agli obblighi previsti </w:t>
            </w:r>
          </w:p>
          <w:p>
            <w:pPr>
              <w:pStyle w:val="Normal"/>
              <w:jc w:val="center"/>
              <w:rPr>
                <w:i/>
                <w:i/>
              </w:rPr>
            </w:pPr>
            <w:r>
              <w:rPr>
                <w:i/>
              </w:rPr>
              <w:t>dalla delibera ARERA</w:t>
            </w:r>
          </w:p>
          <w:p>
            <w:pPr>
              <w:pStyle w:val="Normal"/>
              <w:jc w:val="center"/>
              <w:rPr>
                <w:i/>
                <w:i/>
              </w:rPr>
            </w:pPr>
            <w:r>
              <w:rPr>
                <w:i/>
              </w:rPr>
              <w:t>n. 444 del 31/10/2020)</w:t>
            </w:r>
          </w:p>
        </w:tc>
        <w:tc>
          <w:tcPr>
            <w:tcW w:w="5670" w:type="dxa"/>
            <w:tcBorders/>
            <w:vAlign w:val="center"/>
          </w:tcPr>
          <w:p>
            <w:pPr>
              <w:pStyle w:val="Normal"/>
              <w:jc w:val="center"/>
              <w:rPr/>
            </w:pPr>
            <w:r>
              <w:rPr/>
            </w:r>
          </w:p>
        </w:tc>
        <w:tc>
          <w:tcPr>
            <w:tcW w:w="1134" w:type="dxa"/>
            <w:tcBorders/>
            <w:vAlign w:val="center"/>
          </w:tcPr>
          <w:p>
            <w:pPr>
              <w:pStyle w:val="Normal"/>
              <w:jc w:val="center"/>
              <w:rPr/>
            </w:pPr>
            <w:r>
              <w:rPr/>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Pagamenti</w:t>
            </w:r>
          </w:p>
        </w:tc>
        <w:tc>
          <w:tcPr>
            <w:tcW w:w="1701" w:type="dxa"/>
            <w:tcBorders/>
            <w:vAlign w:val="center"/>
          </w:tcPr>
          <w:p>
            <w:pPr>
              <w:pStyle w:val="Intestazione"/>
              <w:jc w:val="center"/>
              <w:rPr>
                <w:b/>
                <w:b/>
              </w:rPr>
            </w:pPr>
            <w:r>
              <w:rPr>
                <w:b/>
              </w:rPr>
              <w:t>Dati sui pagamenti</w:t>
            </w:r>
          </w:p>
        </w:tc>
        <w:tc>
          <w:tcPr>
            <w:tcW w:w="1134" w:type="dxa"/>
            <w:tcBorders/>
            <w:vAlign w:val="center"/>
          </w:tcPr>
          <w:p>
            <w:pPr>
              <w:pStyle w:val="Intestazione"/>
              <w:jc w:val="center"/>
              <w:rPr/>
            </w:pPr>
            <w:r>
              <w:rPr/>
              <w:t>art. 4-bis, c.2</w:t>
            </w:r>
          </w:p>
        </w:tc>
        <w:tc>
          <w:tcPr>
            <w:tcW w:w="2268" w:type="dxa"/>
            <w:tcBorders/>
            <w:vAlign w:val="center"/>
          </w:tcPr>
          <w:p>
            <w:pPr>
              <w:pStyle w:val="Intestazione"/>
              <w:jc w:val="center"/>
              <w:rPr/>
            </w:pPr>
            <w:r>
              <w:rPr/>
              <w:t>Dati sui pagamenti</w:t>
            </w:r>
          </w:p>
          <w:p>
            <w:pPr>
              <w:pStyle w:val="Intestazione"/>
              <w:jc w:val="center"/>
              <w:rPr/>
            </w:pPr>
            <w:r>
              <w:rPr/>
              <w:t>(da pubblicare in tabelle)</w:t>
            </w:r>
          </w:p>
        </w:tc>
        <w:tc>
          <w:tcPr>
            <w:tcW w:w="5670" w:type="dxa"/>
            <w:tcBorders/>
            <w:vAlign w:val="center"/>
          </w:tcPr>
          <w:p>
            <w:pPr>
              <w:pStyle w:val="Intestazione"/>
              <w:jc w:val="both"/>
              <w:rPr/>
            </w:pPr>
            <w:r>
              <w:rPr/>
              <w:t>Dati sui propri pagamenti in relazione alla tipologia di spesa sostenuta, all'ambito temporale di riferimento e ai beneficiari</w:t>
            </w:r>
          </w:p>
        </w:tc>
        <w:tc>
          <w:tcPr>
            <w:tcW w:w="1134" w:type="dxa"/>
            <w:tcBorders/>
            <w:vAlign w:val="center"/>
          </w:tcPr>
          <w:p>
            <w:pPr>
              <w:pStyle w:val="Intestazione"/>
              <w:jc w:val="center"/>
              <w:rPr/>
            </w:pPr>
            <w:r>
              <w:rPr/>
              <w:t>Trimestrale</w:t>
            </w:r>
          </w:p>
          <w:p>
            <w:pPr>
              <w:pStyle w:val="Intestazione"/>
              <w:jc w:val="center"/>
              <w:rPr/>
            </w:pPr>
            <w:r>
              <w:rPr/>
              <w:t>(in fase di prima attuazione semestrale)</w:t>
            </w:r>
          </w:p>
        </w:tc>
        <w:tc>
          <w:tcPr>
            <w:tcW w:w="1305" w:type="dxa"/>
            <w:tcBorders/>
            <w:vAlign w:val="center"/>
          </w:tcPr>
          <w:p>
            <w:pPr>
              <w:pStyle w:val="Intestazione"/>
              <w:jc w:val="center"/>
              <w:rPr/>
            </w:pPr>
            <w:r>
              <w:rPr/>
              <w:t>Saponaro Marianna</w:t>
            </w:r>
          </w:p>
        </w:tc>
        <w:tc>
          <w:tcPr>
            <w:tcW w:w="1273" w:type="dxa"/>
            <w:tcBorders/>
            <w:vAlign w:val="center"/>
          </w:tcPr>
          <w:p>
            <w:pPr>
              <w:pStyle w:val="Intestazione"/>
              <w:jc w:val="center"/>
              <w:rPr/>
            </w:pPr>
            <w:r>
              <w:rPr/>
              <w:t>Saponaro Marianna</w:t>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Intestazione"/>
              <w:jc w:val="center"/>
              <w:rPr>
                <w:b/>
                <w:b/>
              </w:rPr>
            </w:pPr>
            <w:r>
              <w:rPr>
                <w:b/>
              </w:rPr>
              <w:t>Dati sui pagamenti del</w:t>
            </w:r>
          </w:p>
          <w:p>
            <w:pPr>
              <w:pStyle w:val="Intestazione"/>
              <w:jc w:val="center"/>
              <w:rPr>
                <w:b/>
                <w:b/>
              </w:rPr>
            </w:pPr>
            <w:r>
              <w:rPr>
                <w:b/>
              </w:rPr>
              <w:t>servizio sanitario nazionale</w:t>
            </w:r>
          </w:p>
        </w:tc>
        <w:tc>
          <w:tcPr>
            <w:tcW w:w="1134" w:type="dxa"/>
            <w:tcBorders/>
            <w:vAlign w:val="center"/>
          </w:tcPr>
          <w:p>
            <w:pPr>
              <w:pStyle w:val="Intestazione"/>
              <w:jc w:val="center"/>
              <w:rPr/>
            </w:pPr>
            <w:r>
              <w:rPr/>
              <w:t>art. 41, c. 1-bis</w:t>
            </w:r>
          </w:p>
        </w:tc>
        <w:tc>
          <w:tcPr>
            <w:tcW w:w="2268" w:type="dxa"/>
            <w:tcBorders/>
            <w:vAlign w:val="center"/>
          </w:tcPr>
          <w:p>
            <w:pPr>
              <w:pStyle w:val="Intestazione"/>
              <w:jc w:val="center"/>
              <w:rPr/>
            </w:pPr>
            <w:r>
              <w:rPr/>
              <w:t>Dati sui pagamenti</w:t>
            </w:r>
          </w:p>
          <w:p>
            <w:pPr>
              <w:pStyle w:val="Intestazione"/>
              <w:jc w:val="center"/>
              <w:rPr/>
            </w:pPr>
            <w:r>
              <w:rPr/>
              <w:t>in forma sintetica e aggregata</w:t>
            </w:r>
          </w:p>
          <w:p>
            <w:pPr>
              <w:pStyle w:val="Intestazione"/>
              <w:jc w:val="center"/>
              <w:rPr/>
            </w:pPr>
            <w:r>
              <w:rPr/>
              <w:t>(da pubblicare in tabelle)</w:t>
            </w:r>
          </w:p>
        </w:tc>
        <w:tc>
          <w:tcPr>
            <w:tcW w:w="5670" w:type="dxa"/>
            <w:tcBorders/>
            <w:vAlign w:val="center"/>
          </w:tcPr>
          <w:p>
            <w:pPr>
              <w:pStyle w:val="Intestazione"/>
              <w:jc w:val="both"/>
              <w:rPr/>
            </w:pPr>
            <w:r>
              <w:rPr/>
              <w:t>Dati relativi a tutte  le spese e a  tutti i pagamenti effettuati, distinti per tipologia  di lavoro, bene o servizio in relazione alla tipologia di spesa sostenuta, all’ambito  temporale di riferimento e ai beneficiari</w:t>
            </w:r>
          </w:p>
        </w:tc>
        <w:tc>
          <w:tcPr>
            <w:tcW w:w="1134" w:type="dxa"/>
            <w:tcBorders/>
            <w:vAlign w:val="center"/>
          </w:tcPr>
          <w:p>
            <w:pPr>
              <w:pStyle w:val="Intestazione"/>
              <w:jc w:val="center"/>
              <w:rPr/>
            </w:pPr>
            <w:r>
              <w:rPr/>
              <w:t>Trimestrale (in fase di prima attuazione semestrale)</w:t>
            </w:r>
          </w:p>
        </w:tc>
        <w:tc>
          <w:tcPr>
            <w:tcW w:w="1305" w:type="dxa"/>
            <w:tcBorders/>
            <w:vAlign w:val="center"/>
          </w:tcPr>
          <w:p>
            <w:pPr>
              <w:pStyle w:val="Intestazione"/>
              <w:jc w:val="center"/>
              <w:rPr/>
            </w:pPr>
            <w:r>
              <w:rPr/>
              <w:t>Ipotesi non ricorre</w:t>
            </w:r>
          </w:p>
        </w:tc>
        <w:tc>
          <w:tcPr>
            <w:tcW w:w="1273" w:type="dxa"/>
            <w:tcBorders/>
            <w:vAlign w:val="center"/>
          </w:tcPr>
          <w:p>
            <w:pPr>
              <w:pStyle w:val="Intestazione"/>
              <w:jc w:val="center"/>
              <w:rPr/>
            </w:pPr>
            <w:r>
              <w:rPr/>
              <w:t>Ipotesi non ricorre</w:t>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jc w:val="center"/>
              <w:rPr>
                <w:b/>
                <w:b/>
              </w:rPr>
            </w:pPr>
            <w:r>
              <w:rPr>
                <w:b/>
              </w:rPr>
              <w:t>Indicatore di tempestività</w:t>
            </w:r>
          </w:p>
          <w:p>
            <w:pPr>
              <w:pStyle w:val="Intestazione"/>
              <w:jc w:val="center"/>
              <w:rPr>
                <w:b/>
                <w:b/>
              </w:rPr>
            </w:pPr>
            <w:r>
              <w:rPr>
                <w:b/>
              </w:rPr>
              <w:t>dei pagamenti</w:t>
            </w:r>
          </w:p>
        </w:tc>
        <w:tc>
          <w:tcPr>
            <w:tcW w:w="1134" w:type="dxa"/>
            <w:vMerge w:val="restart"/>
            <w:tcBorders/>
            <w:vAlign w:val="center"/>
          </w:tcPr>
          <w:p>
            <w:pPr>
              <w:pStyle w:val="Intestazione"/>
              <w:jc w:val="center"/>
              <w:rPr/>
            </w:pPr>
            <w:r>
              <w:rPr/>
              <w:t>art. 33</w:t>
            </w:r>
          </w:p>
          <w:p>
            <w:pPr>
              <w:pStyle w:val="Intestazione"/>
              <w:jc w:val="center"/>
              <w:rPr>
                <w:lang w:val="en-GB"/>
              </w:rPr>
            </w:pPr>
            <w:r>
              <w:rPr>
                <w:lang w:val="en-GB"/>
              </w:rPr>
              <w:t>d.lgs. n. 33/2013</w:t>
            </w:r>
          </w:p>
          <w:p>
            <w:pPr>
              <w:pStyle w:val="Intestazione"/>
              <w:jc w:val="center"/>
              <w:rPr/>
            </w:pPr>
            <w:r>
              <w:rPr/>
            </w:r>
          </w:p>
        </w:tc>
        <w:tc>
          <w:tcPr>
            <w:tcW w:w="2268" w:type="dxa"/>
            <w:vMerge w:val="restart"/>
            <w:tcBorders/>
            <w:vAlign w:val="center"/>
          </w:tcPr>
          <w:p>
            <w:pPr>
              <w:pStyle w:val="Intestazione"/>
              <w:jc w:val="center"/>
              <w:rPr/>
            </w:pPr>
            <w:r>
              <w:rPr/>
              <w:t>Indicatore di tempestività</w:t>
            </w:r>
          </w:p>
          <w:p>
            <w:pPr>
              <w:pStyle w:val="Intestazione"/>
              <w:jc w:val="center"/>
              <w:rPr/>
            </w:pPr>
            <w:r>
              <w:rPr/>
              <w:t>dei pagamenti</w:t>
            </w:r>
          </w:p>
        </w:tc>
        <w:tc>
          <w:tcPr>
            <w:tcW w:w="5670" w:type="dxa"/>
            <w:tcBorders/>
            <w:vAlign w:val="center"/>
          </w:tcPr>
          <w:p>
            <w:pPr>
              <w:pStyle w:val="Intestazione"/>
              <w:jc w:val="both"/>
              <w:rPr/>
            </w:pPr>
            <w:r>
              <w:rPr/>
              <w:t>Indicatore dei tempi medi di pagamento relativi agli acquisti di beni, servizi, prestazioni professionali e forniture (indicatore annuale di tempestività dei pagamenti)</w:t>
            </w:r>
          </w:p>
        </w:tc>
        <w:tc>
          <w:tcPr>
            <w:tcW w:w="1134" w:type="dxa"/>
            <w:tcBorders/>
            <w:vAlign w:val="center"/>
          </w:tcPr>
          <w:p>
            <w:pPr>
              <w:pStyle w:val="Intestazione"/>
              <w:jc w:val="center"/>
              <w:rPr>
                <w:lang w:val="en-GB"/>
              </w:rPr>
            </w:pPr>
            <w:r>
              <w:rPr>
                <w:lang w:val="en-GB"/>
              </w:rPr>
              <w:t>Annuale</w:t>
            </w:r>
          </w:p>
          <w:p>
            <w:pPr>
              <w:pStyle w:val="Intestazione"/>
              <w:jc w:val="center"/>
              <w:rPr>
                <w:lang w:val="en-GB"/>
              </w:rPr>
            </w:pPr>
            <w:r>
              <w:rPr>
                <w:lang w:val="en-GB"/>
              </w:rPr>
              <w:t xml:space="preserve">art. 33, c. 1, </w:t>
            </w:r>
          </w:p>
          <w:p>
            <w:pPr>
              <w:pStyle w:val="Intestazione"/>
              <w:jc w:val="center"/>
              <w:rPr>
                <w:lang w:val="en-GB"/>
              </w:rPr>
            </w:pPr>
            <w:r>
              <w:rPr>
                <w:lang w:val="en-GB"/>
              </w:rPr>
              <w:t>d.lgs. n. 33/2013</w:t>
            </w:r>
          </w:p>
        </w:tc>
        <w:tc>
          <w:tcPr>
            <w:tcW w:w="1305" w:type="dxa"/>
            <w:tcBorders/>
            <w:vAlign w:val="center"/>
          </w:tcPr>
          <w:p>
            <w:pPr>
              <w:pStyle w:val="Intestazione"/>
              <w:jc w:val="center"/>
              <w:rPr>
                <w:lang w:val="en-GB"/>
              </w:rPr>
            </w:pPr>
            <w:r>
              <w:rPr/>
              <w:t>Saponaro Marianna</w:t>
            </w:r>
          </w:p>
        </w:tc>
        <w:tc>
          <w:tcPr>
            <w:tcW w:w="1273" w:type="dxa"/>
            <w:tcBorders/>
            <w:vAlign w:val="center"/>
          </w:tcPr>
          <w:p>
            <w:pPr>
              <w:pStyle w:val="Intestazione"/>
              <w:jc w:val="center"/>
              <w:rPr>
                <w:lang w:val="en-GB"/>
              </w:rPr>
            </w:pPr>
            <w:r>
              <w:rPr/>
              <w:t>Saponaro Marianna</w:t>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continue"/>
            <w:tcBorders/>
            <w:vAlign w:val="center"/>
          </w:tcPr>
          <w:p>
            <w:pPr>
              <w:pStyle w:val="Intestazione"/>
              <w:jc w:val="center"/>
              <w:rPr>
                <w:b/>
                <w:b/>
                <w:lang w:val="en-GB"/>
              </w:rPr>
            </w:pPr>
            <w:r>
              <w:rPr>
                <w:b/>
                <w:lang w:val="en-GB"/>
              </w:rPr>
            </w:r>
          </w:p>
        </w:tc>
        <w:tc>
          <w:tcPr>
            <w:tcW w:w="1134" w:type="dxa"/>
            <w:vMerge w:val="continue"/>
            <w:tcBorders/>
            <w:vAlign w:val="center"/>
          </w:tcPr>
          <w:p>
            <w:pPr>
              <w:pStyle w:val="Intestazione"/>
              <w:jc w:val="center"/>
              <w:rPr>
                <w:lang w:val="en-GB"/>
              </w:rPr>
            </w:pPr>
            <w:r>
              <w:rPr>
                <w:lang w:val="en-GB"/>
              </w:rPr>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Indicatore trimestrale di tempestività dei pagamenti</w:t>
            </w:r>
          </w:p>
        </w:tc>
        <w:tc>
          <w:tcPr>
            <w:tcW w:w="1134" w:type="dxa"/>
            <w:tcBorders/>
            <w:vAlign w:val="center"/>
          </w:tcPr>
          <w:p>
            <w:pPr>
              <w:pStyle w:val="Intestazione"/>
              <w:jc w:val="center"/>
              <w:rPr/>
            </w:pPr>
            <w:r>
              <w:rPr/>
              <w:t xml:space="preserve">Trimestrale </w:t>
            </w:r>
          </w:p>
          <w:p>
            <w:pPr>
              <w:pStyle w:val="Intestazione"/>
              <w:jc w:val="center"/>
              <w:rPr/>
            </w:pPr>
            <w:r>
              <w:rPr/>
              <w:t>art. 33, c. 1</w:t>
            </w:r>
          </w:p>
          <w:p>
            <w:pPr>
              <w:pStyle w:val="Intestazione"/>
              <w:jc w:val="center"/>
              <w:rPr/>
            </w:pPr>
            <w:r>
              <w:rPr/>
              <w:t xml:space="preserve"> </w:t>
            </w:r>
            <w:r>
              <w:rPr/>
              <w:t>d.lgs. n. 33/2013</w:t>
            </w:r>
          </w:p>
        </w:tc>
        <w:tc>
          <w:tcPr>
            <w:tcW w:w="1305" w:type="dxa"/>
            <w:tcBorders/>
            <w:vAlign w:val="center"/>
          </w:tcPr>
          <w:p>
            <w:pPr>
              <w:pStyle w:val="Intestazione"/>
              <w:jc w:val="center"/>
              <w:rPr/>
            </w:pPr>
            <w:r>
              <w:rPr/>
              <w:t>Saponaro Marianna</w:t>
            </w:r>
          </w:p>
        </w:tc>
        <w:tc>
          <w:tcPr>
            <w:tcW w:w="1273" w:type="dxa"/>
            <w:tcBorders/>
            <w:vAlign w:val="center"/>
          </w:tcPr>
          <w:p>
            <w:pPr>
              <w:pStyle w:val="Intestazione"/>
              <w:jc w:val="center"/>
              <w:rPr/>
            </w:pPr>
            <w:r>
              <w:rPr/>
              <w:t>Saponaro Marianna</w:t>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Ammontare complessivo dei debiti e il numero delle imprese creditrici</w:t>
            </w:r>
          </w:p>
        </w:tc>
        <w:tc>
          <w:tcPr>
            <w:tcW w:w="1134" w:type="dxa"/>
            <w:tcBorders/>
            <w:vAlign w:val="center"/>
          </w:tcPr>
          <w:p>
            <w:pPr>
              <w:pStyle w:val="Intestazione"/>
              <w:jc w:val="center"/>
              <w:rPr>
                <w:lang w:val="en-GB"/>
              </w:rPr>
            </w:pPr>
            <w:r>
              <w:rPr>
                <w:lang w:val="en-GB"/>
              </w:rPr>
              <w:t>Annuale</w:t>
            </w:r>
          </w:p>
          <w:p>
            <w:pPr>
              <w:pStyle w:val="Intestazione"/>
              <w:jc w:val="center"/>
              <w:rPr>
                <w:lang w:val="en-GB"/>
              </w:rPr>
            </w:pPr>
            <w:r>
              <w:rPr>
                <w:lang w:val="en-GB"/>
              </w:rPr>
              <w:t>art. 33, c. 1</w:t>
            </w:r>
          </w:p>
          <w:p>
            <w:pPr>
              <w:pStyle w:val="Intestazione"/>
              <w:jc w:val="center"/>
              <w:rPr>
                <w:lang w:val="en-GB"/>
              </w:rPr>
            </w:pPr>
            <w:r>
              <w:rPr>
                <w:lang w:val="en-GB"/>
              </w:rPr>
              <w:t xml:space="preserve"> </w:t>
            </w:r>
            <w:r>
              <w:rPr>
                <w:lang w:val="en-GB"/>
              </w:rPr>
              <w:t>d.lgs. n. 33/2013</w:t>
            </w:r>
          </w:p>
        </w:tc>
        <w:tc>
          <w:tcPr>
            <w:tcW w:w="1305" w:type="dxa"/>
            <w:tcBorders/>
            <w:vAlign w:val="center"/>
          </w:tcPr>
          <w:p>
            <w:pPr>
              <w:pStyle w:val="Intestazione"/>
              <w:jc w:val="center"/>
              <w:rPr>
                <w:lang w:val="en-GB"/>
              </w:rPr>
            </w:pPr>
            <w:r>
              <w:rPr/>
              <w:t>Saponaro Marianna</w:t>
            </w:r>
          </w:p>
        </w:tc>
        <w:tc>
          <w:tcPr>
            <w:tcW w:w="1273" w:type="dxa"/>
            <w:tcBorders/>
            <w:vAlign w:val="center"/>
          </w:tcPr>
          <w:p>
            <w:pPr>
              <w:pStyle w:val="Intestazione"/>
              <w:jc w:val="center"/>
              <w:rPr>
                <w:lang w:val="en-GB"/>
              </w:rPr>
            </w:pPr>
            <w:r>
              <w:rPr/>
              <w:t>Saponaro Marianna</w:t>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restart"/>
            <w:tcBorders/>
            <w:vAlign w:val="center"/>
          </w:tcPr>
          <w:p>
            <w:pPr>
              <w:pStyle w:val="Intestazione"/>
              <w:jc w:val="center"/>
              <w:rPr>
                <w:b/>
                <w:b/>
              </w:rPr>
            </w:pPr>
            <w:r>
              <w:rPr>
                <w:b/>
              </w:rPr>
              <w:t xml:space="preserve">IBAN e </w:t>
            </w:r>
          </w:p>
          <w:p>
            <w:pPr>
              <w:pStyle w:val="Intestazione"/>
              <w:jc w:val="center"/>
              <w:rPr>
                <w:b/>
                <w:b/>
              </w:rPr>
            </w:pPr>
            <w:r>
              <w:rPr>
                <w:b/>
              </w:rPr>
              <w:t>pagamenti informatici</w:t>
            </w:r>
          </w:p>
        </w:tc>
        <w:tc>
          <w:tcPr>
            <w:tcW w:w="1134" w:type="dxa"/>
            <w:vMerge w:val="restart"/>
            <w:tcBorders/>
            <w:vAlign w:val="center"/>
          </w:tcPr>
          <w:p>
            <w:pPr>
              <w:pStyle w:val="Intestazione"/>
              <w:jc w:val="center"/>
              <w:rPr>
                <w:lang w:val="en-GB"/>
              </w:rPr>
            </w:pPr>
            <w:r>
              <w:rPr>
                <w:lang w:val="en-GB"/>
              </w:rPr>
              <w:t>art. 36</w:t>
            </w:r>
          </w:p>
          <w:p>
            <w:pPr>
              <w:pStyle w:val="Intestazione"/>
              <w:jc w:val="center"/>
              <w:rPr>
                <w:lang w:val="en-GB"/>
              </w:rPr>
            </w:pPr>
            <w:r>
              <w:rPr>
                <w:lang w:val="en-GB"/>
              </w:rPr>
              <w:t>d.lgs. n. 33/2013</w:t>
            </w:r>
          </w:p>
          <w:p>
            <w:pPr>
              <w:pStyle w:val="Intestazione"/>
              <w:jc w:val="center"/>
              <w:rPr>
                <w:rFonts w:eastAsiaTheme="minorEastAsia"/>
              </w:rPr>
            </w:pPr>
            <w:r>
              <w:rPr>
                <w:rFonts w:eastAsiaTheme="minorEastAsia"/>
                <w:lang w:val="en-GB"/>
              </w:rPr>
              <w:t>art. 5, c. 1,</w:t>
            </w:r>
          </w:p>
          <w:p>
            <w:pPr>
              <w:pStyle w:val="Intestazione"/>
              <w:jc w:val="center"/>
              <w:rPr>
                <w:rFonts w:eastAsiaTheme="minorEastAsia"/>
              </w:rPr>
            </w:pPr>
            <w:r>
              <w:rPr>
                <w:rFonts w:eastAsiaTheme="minorEastAsia"/>
                <w:lang w:val="en-GB"/>
              </w:rPr>
              <w:t>d.lgs. 82/2005</w:t>
            </w:r>
          </w:p>
        </w:tc>
        <w:tc>
          <w:tcPr>
            <w:tcW w:w="2268" w:type="dxa"/>
            <w:vMerge w:val="restart"/>
            <w:tcBorders/>
            <w:vAlign w:val="center"/>
          </w:tcPr>
          <w:p>
            <w:pPr>
              <w:pStyle w:val="Intestazione"/>
              <w:jc w:val="center"/>
              <w:rPr>
                <w:lang w:val="en-GB"/>
              </w:rPr>
            </w:pPr>
            <w:r>
              <w:rPr/>
              <w:t>IBAN</w:t>
            </w:r>
            <w:r>
              <w:rPr>
                <w:lang w:val="en-GB"/>
              </w:rPr>
              <w:t xml:space="preserve"> e </w:t>
            </w:r>
            <w:r>
              <w:rPr/>
              <w:t>pagamenti</w:t>
            </w:r>
            <w:r>
              <w:rPr>
                <w:lang w:val="en-GB"/>
              </w:rPr>
              <w:t xml:space="preserve"> </w:t>
            </w:r>
            <w:r>
              <w:rPr/>
              <w:t>informatici</w:t>
            </w:r>
          </w:p>
        </w:tc>
        <w:tc>
          <w:tcPr>
            <w:tcW w:w="5670" w:type="dxa"/>
            <w:tcBorders/>
            <w:vAlign w:val="center"/>
          </w:tcPr>
          <w:p>
            <w:pPr>
              <w:pStyle w:val="Intestazione"/>
              <w:jc w:val="both"/>
              <w:rPr/>
            </w:pPr>
            <w:r>
              <w:rPr/>
              <w:t>Nelle richieste di pagamento: i codici IBAN identificativi del conto di pagamento, ovvero di imputazione del versamento in Tesoreria,  tramite i quali i soggetti versanti possono effettuare i pagamenti mediante bonifico bancario o postale, ovvero gli identificativi del conto corrente postale sul quale i soggetti versanti possono effettuare i pagamenti mediante bollettino postale, nonchè i codici identificativi del pagamento da indicare obbligatoriamente per il versamento</w:t>
            </w:r>
          </w:p>
        </w:tc>
        <w:tc>
          <w:tcPr>
            <w:tcW w:w="1134" w:type="dxa"/>
            <w:tcBorders/>
            <w:vAlign w:val="center"/>
          </w:tcPr>
          <w:p>
            <w:pPr>
              <w:pStyle w:val="Intestazione"/>
              <w:jc w:val="center"/>
              <w:rPr/>
            </w:pPr>
            <w:r>
              <w:rPr/>
              <w:t>Tempestivo</w:t>
            </w:r>
          </w:p>
          <w:p>
            <w:pPr>
              <w:pStyle w:val="Intestazione"/>
              <w:jc w:val="center"/>
              <w:rPr/>
            </w:pPr>
            <w:r>
              <w:rPr/>
              <w:t>ex art. 8, d.lgs. n. 33/2013</w:t>
            </w:r>
          </w:p>
        </w:tc>
        <w:tc>
          <w:tcPr>
            <w:tcW w:w="1305" w:type="dxa"/>
            <w:tcBorders/>
            <w:vAlign w:val="center"/>
          </w:tcPr>
          <w:p>
            <w:pPr>
              <w:pStyle w:val="Intestazione"/>
              <w:jc w:val="center"/>
              <w:rPr/>
            </w:pPr>
            <w:r>
              <w:rPr/>
              <w:t>Saponaro Marianna</w:t>
            </w:r>
          </w:p>
        </w:tc>
        <w:tc>
          <w:tcPr>
            <w:tcW w:w="1273" w:type="dxa"/>
            <w:tcBorders/>
            <w:vAlign w:val="center"/>
          </w:tcPr>
          <w:p>
            <w:pPr>
              <w:pStyle w:val="Intestazione"/>
              <w:jc w:val="center"/>
              <w:rPr/>
            </w:pPr>
            <w:r>
              <w:rPr/>
              <w:t>Saponaro Marianna</w:t>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lang w:val="en-GB"/>
              </w:rPr>
            </w:pPr>
            <w:r>
              <w:rPr>
                <w:lang w:val="en-GB"/>
              </w:rPr>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w w:val="120"/>
              </w:rPr>
            </w:pPr>
            <w:r>
              <w:rPr>
                <w:w w:val="115"/>
              </w:rPr>
              <w:t>Pubblicazione dei seguenti dati</w:t>
            </w:r>
            <w:r>
              <w:rPr>
                <w:spacing w:val="1"/>
                <w:w w:val="115"/>
              </w:rPr>
              <w:t xml:space="preserve"> </w:t>
            </w:r>
            <w:r>
              <w:rPr>
                <w:w w:val="120"/>
              </w:rPr>
              <w:t>dei</w:t>
            </w:r>
            <w:r>
              <w:rPr>
                <w:spacing w:val="1"/>
                <w:w w:val="120"/>
              </w:rPr>
              <w:t xml:space="preserve"> </w:t>
            </w:r>
            <w:r>
              <w:rPr>
                <w:w w:val="120"/>
              </w:rPr>
              <w:t>pagamenti</w:t>
            </w:r>
            <w:r>
              <w:rPr>
                <w:spacing w:val="1"/>
                <w:w w:val="120"/>
              </w:rPr>
              <w:t xml:space="preserve"> </w:t>
            </w:r>
            <w:r>
              <w:rPr>
                <w:w w:val="120"/>
              </w:rPr>
              <w:t>informatici:</w:t>
            </w:r>
          </w:p>
          <w:p>
            <w:pPr>
              <w:pStyle w:val="TableParagraph"/>
              <w:numPr>
                <w:ilvl w:val="0"/>
                <w:numId w:val="4"/>
              </w:numPr>
              <w:tabs>
                <w:tab w:val="clear" w:pos="709"/>
                <w:tab w:val="left" w:pos="348" w:leader="none"/>
              </w:tabs>
              <w:ind w:left="227" w:hanging="227"/>
              <w:jc w:val="both"/>
              <w:rPr>
                <w:rFonts w:ascii="Calibri" w:hAnsi="Calibri" w:cs="Calibri"/>
                <w:sz w:val="13"/>
                <w:szCs w:val="13"/>
              </w:rPr>
            </w:pPr>
            <w:r>
              <w:rPr>
                <w:rFonts w:cs="Calibri" w:ascii="Calibri" w:hAnsi="Calibri"/>
                <w:w w:val="115"/>
                <w:sz w:val="13"/>
                <w:szCs w:val="13"/>
              </w:rPr>
              <w:t>la</w:t>
            </w:r>
            <w:r>
              <w:rPr>
                <w:rFonts w:cs="Calibri" w:ascii="Calibri" w:hAnsi="Calibri"/>
                <w:spacing w:val="1"/>
                <w:w w:val="115"/>
                <w:sz w:val="13"/>
                <w:szCs w:val="13"/>
              </w:rPr>
              <w:t xml:space="preserve"> </w:t>
            </w:r>
            <w:r>
              <w:rPr>
                <w:rFonts w:cs="Calibri" w:ascii="Calibri" w:hAnsi="Calibri"/>
                <w:w w:val="115"/>
                <w:sz w:val="13"/>
                <w:szCs w:val="13"/>
              </w:rPr>
              <w:t>data</w:t>
            </w:r>
            <w:r>
              <w:rPr>
                <w:rFonts w:cs="Calibri" w:ascii="Calibri" w:hAnsi="Calibri"/>
                <w:spacing w:val="1"/>
                <w:w w:val="115"/>
                <w:sz w:val="13"/>
                <w:szCs w:val="13"/>
              </w:rPr>
              <w:t xml:space="preserve"> </w:t>
            </w:r>
            <w:r>
              <w:rPr>
                <w:rFonts w:cs="Calibri" w:ascii="Calibri" w:hAnsi="Calibri"/>
                <w:w w:val="115"/>
                <w:sz w:val="13"/>
                <w:szCs w:val="13"/>
              </w:rPr>
              <w:t>di</w:t>
            </w:r>
            <w:r>
              <w:rPr>
                <w:rFonts w:cs="Calibri" w:ascii="Calibri" w:hAnsi="Calibri"/>
                <w:spacing w:val="1"/>
                <w:w w:val="115"/>
                <w:sz w:val="13"/>
                <w:szCs w:val="13"/>
              </w:rPr>
              <w:t xml:space="preserve"> </w:t>
            </w:r>
            <w:r>
              <w:rPr>
                <w:rFonts w:cs="Calibri" w:ascii="Calibri" w:hAnsi="Calibri"/>
                <w:w w:val="115"/>
                <w:sz w:val="13"/>
                <w:szCs w:val="13"/>
              </w:rPr>
              <w:t>adesione</w:t>
            </w:r>
            <w:r>
              <w:rPr>
                <w:rFonts w:cs="Calibri" w:ascii="Calibri" w:hAnsi="Calibri"/>
                <w:spacing w:val="1"/>
                <w:w w:val="115"/>
                <w:sz w:val="13"/>
                <w:szCs w:val="13"/>
              </w:rPr>
              <w:t xml:space="preserve"> </w:t>
            </w:r>
            <w:r>
              <w:rPr>
                <w:rFonts w:cs="Calibri" w:ascii="Calibri" w:hAnsi="Calibri"/>
                <w:w w:val="115"/>
                <w:sz w:val="13"/>
                <w:szCs w:val="13"/>
              </w:rPr>
              <w:t>alla</w:t>
            </w:r>
            <w:r>
              <w:rPr>
                <w:rFonts w:cs="Calibri" w:ascii="Calibri" w:hAnsi="Calibri"/>
                <w:spacing w:val="-43"/>
                <w:w w:val="115"/>
                <w:sz w:val="13"/>
                <w:szCs w:val="13"/>
              </w:rPr>
              <w:t xml:space="preserve"> </w:t>
            </w:r>
            <w:r>
              <w:rPr>
                <w:rFonts w:cs="Calibri" w:ascii="Calibri" w:hAnsi="Calibri"/>
                <w:w w:val="115"/>
                <w:sz w:val="13"/>
                <w:szCs w:val="13"/>
              </w:rPr>
              <w:t>piattaforma pagoPA secondo la</w:t>
            </w:r>
            <w:r>
              <w:rPr>
                <w:rFonts w:cs="Calibri" w:ascii="Calibri" w:hAnsi="Calibri"/>
                <w:spacing w:val="1"/>
                <w:w w:val="115"/>
                <w:sz w:val="13"/>
                <w:szCs w:val="13"/>
              </w:rPr>
              <w:t xml:space="preserve"> </w:t>
            </w:r>
            <w:r>
              <w:rPr>
                <w:rFonts w:cs="Calibri" w:ascii="Calibri" w:hAnsi="Calibri"/>
                <w:w w:val="115"/>
                <w:sz w:val="13"/>
                <w:szCs w:val="13"/>
              </w:rPr>
              <w:t>seguente</w:t>
            </w:r>
            <w:r>
              <w:rPr>
                <w:rFonts w:cs="Calibri" w:ascii="Calibri" w:hAnsi="Calibri"/>
                <w:spacing w:val="1"/>
                <w:w w:val="115"/>
                <w:sz w:val="13"/>
                <w:szCs w:val="13"/>
              </w:rPr>
              <w:t xml:space="preserve"> </w:t>
            </w:r>
            <w:r>
              <w:rPr>
                <w:rFonts w:cs="Calibri" w:ascii="Calibri" w:hAnsi="Calibri"/>
                <w:w w:val="115"/>
                <w:sz w:val="13"/>
                <w:szCs w:val="13"/>
              </w:rPr>
              <w:t xml:space="preserve">dicitura </w:t>
            </w:r>
            <w:r>
              <w:rPr>
                <w:rFonts w:cs="Calibri" w:ascii="Calibri" w:hAnsi="Calibri"/>
                <w:spacing w:val="1"/>
                <w:w w:val="115"/>
                <w:sz w:val="13"/>
                <w:szCs w:val="13"/>
              </w:rPr>
              <w:t xml:space="preserve"> </w:t>
            </w:r>
            <w:r>
              <w:rPr>
                <w:rFonts w:cs="Calibri" w:ascii="Calibri" w:hAnsi="Calibri"/>
                <w:w w:val="115"/>
                <w:sz w:val="13"/>
                <w:szCs w:val="13"/>
              </w:rPr>
              <w:t>“Aderente</w:t>
            </w:r>
            <w:r>
              <w:rPr>
                <w:rFonts w:cs="Calibri" w:ascii="Calibri" w:hAnsi="Calibri"/>
                <w:spacing w:val="1"/>
                <w:w w:val="115"/>
                <w:sz w:val="13"/>
                <w:szCs w:val="13"/>
              </w:rPr>
              <w:t xml:space="preserve"> </w:t>
            </w:r>
            <w:r>
              <w:rPr>
                <w:rFonts w:cs="Calibri" w:ascii="Calibri" w:hAnsi="Calibri"/>
                <w:w w:val="115"/>
                <w:sz w:val="13"/>
                <w:szCs w:val="13"/>
              </w:rPr>
              <w:t>alla</w:t>
            </w:r>
            <w:r>
              <w:rPr>
                <w:rFonts w:cs="Calibri" w:ascii="Calibri" w:hAnsi="Calibri"/>
                <w:spacing w:val="1"/>
                <w:w w:val="115"/>
                <w:sz w:val="13"/>
                <w:szCs w:val="13"/>
              </w:rPr>
              <w:t xml:space="preserve"> </w:t>
            </w:r>
            <w:r>
              <w:rPr>
                <w:rFonts w:cs="Calibri" w:ascii="Calibri" w:hAnsi="Calibri"/>
                <w:w w:val="115"/>
                <w:sz w:val="13"/>
                <w:szCs w:val="13"/>
              </w:rPr>
              <w:t>piattaforma</w:t>
            </w:r>
            <w:r>
              <w:rPr>
                <w:rFonts w:cs="Calibri" w:ascii="Calibri" w:hAnsi="Calibri"/>
                <w:spacing w:val="1"/>
                <w:w w:val="115"/>
                <w:sz w:val="13"/>
                <w:szCs w:val="13"/>
              </w:rPr>
              <w:t xml:space="preserve"> </w:t>
            </w:r>
            <w:r>
              <w:rPr>
                <w:rFonts w:cs="Calibri" w:ascii="Calibri" w:hAnsi="Calibri"/>
                <w:w w:val="115"/>
                <w:sz w:val="13"/>
                <w:szCs w:val="13"/>
              </w:rPr>
              <w:t>pagoPA</w:t>
            </w:r>
            <w:r>
              <w:rPr>
                <w:rFonts w:cs="Calibri" w:ascii="Calibri" w:hAnsi="Calibri"/>
                <w:spacing w:val="1"/>
                <w:w w:val="115"/>
                <w:sz w:val="13"/>
                <w:szCs w:val="13"/>
              </w:rPr>
              <w:t xml:space="preserve"> </w:t>
            </w:r>
            <w:r>
              <w:rPr>
                <w:rFonts w:cs="Calibri" w:ascii="Calibri" w:hAnsi="Calibri"/>
                <w:w w:val="115"/>
                <w:sz w:val="13"/>
                <w:szCs w:val="13"/>
              </w:rPr>
              <w:t>dal</w:t>
            </w:r>
            <w:r>
              <w:rPr>
                <w:rFonts w:cs="Calibri" w:ascii="Calibri" w:hAnsi="Calibri"/>
                <w:spacing w:val="1"/>
                <w:w w:val="115"/>
                <w:sz w:val="13"/>
                <w:szCs w:val="13"/>
              </w:rPr>
              <w:t xml:space="preserve"> </w:t>
            </w:r>
            <w:r>
              <w:rPr>
                <w:rFonts w:cs="Calibri" w:ascii="Calibri" w:hAnsi="Calibri" w:eastAsiaTheme="minorEastAsia"/>
                <w:w w:val="115"/>
                <w:sz w:val="13"/>
                <w:szCs w:val="13"/>
              </w:rPr>
              <w:t>XX.XX.XXXX”;</w:t>
            </w:r>
          </w:p>
          <w:p>
            <w:pPr>
              <w:pStyle w:val="TableParagraph"/>
              <w:numPr>
                <w:ilvl w:val="0"/>
                <w:numId w:val="4"/>
              </w:numPr>
              <w:tabs>
                <w:tab w:val="clear" w:pos="709"/>
                <w:tab w:val="left" w:pos="348" w:leader="none"/>
              </w:tabs>
              <w:ind w:left="227" w:hanging="227"/>
              <w:jc w:val="both"/>
              <w:rPr>
                <w:rFonts w:ascii="Calibri" w:hAnsi="Calibri" w:cs="Calibri"/>
                <w:sz w:val="13"/>
                <w:szCs w:val="13"/>
              </w:rPr>
            </w:pPr>
            <w:r>
              <w:rPr>
                <w:rFonts w:cs="Calibri" w:ascii="Calibri" w:hAnsi="Calibri" w:eastAsiaTheme="minorEastAsia"/>
                <w:w w:val="115"/>
                <w:sz w:val="13"/>
                <w:szCs w:val="13"/>
              </w:rPr>
              <w:t>se utilizzati, gli altri metodi di</w:t>
            </w:r>
            <w:r>
              <w:rPr>
                <w:rFonts w:cs="Calibri" w:ascii="Calibri" w:hAnsi="Calibri" w:eastAsiaTheme="minorEastAsia"/>
                <w:spacing w:val="1"/>
                <w:w w:val="115"/>
                <w:sz w:val="13"/>
                <w:szCs w:val="13"/>
              </w:rPr>
              <w:t xml:space="preserve"> </w:t>
            </w:r>
            <w:r>
              <w:rPr>
                <w:rFonts w:cs="Calibri" w:ascii="Calibri" w:hAnsi="Calibri" w:eastAsiaTheme="minorEastAsia"/>
                <w:w w:val="115"/>
                <w:sz w:val="13"/>
                <w:szCs w:val="13"/>
              </w:rPr>
              <w:t>pagamento non integrati con la</w:t>
            </w:r>
            <w:r>
              <w:rPr>
                <w:rFonts w:cs="Calibri" w:ascii="Calibri" w:hAnsi="Calibri" w:eastAsiaTheme="minorEastAsia"/>
                <w:spacing w:val="1"/>
                <w:w w:val="115"/>
                <w:sz w:val="13"/>
                <w:szCs w:val="13"/>
              </w:rPr>
              <w:t xml:space="preserve"> </w:t>
            </w:r>
            <w:r>
              <w:rPr>
                <w:rFonts w:cs="Calibri" w:ascii="Calibri" w:hAnsi="Calibri" w:eastAsiaTheme="minorEastAsia"/>
                <w:w w:val="115"/>
                <w:sz w:val="13"/>
                <w:szCs w:val="13"/>
              </w:rPr>
              <w:t>piattaforma</w:t>
            </w:r>
            <w:r>
              <w:rPr>
                <w:rFonts w:cs="Calibri" w:ascii="Calibri" w:hAnsi="Calibri" w:eastAsiaTheme="minorEastAsia"/>
                <w:spacing w:val="16"/>
                <w:w w:val="115"/>
                <w:sz w:val="13"/>
                <w:szCs w:val="13"/>
              </w:rPr>
              <w:t xml:space="preserve"> </w:t>
            </w:r>
            <w:r>
              <w:rPr>
                <w:rFonts w:cs="Calibri" w:ascii="Calibri" w:hAnsi="Calibri" w:eastAsiaTheme="minorEastAsia"/>
                <w:w w:val="115"/>
                <w:sz w:val="13"/>
                <w:szCs w:val="13"/>
              </w:rPr>
              <w:t>pag</w:t>
            </w:r>
            <w:r>
              <w:rPr>
                <w:rFonts w:cs="Calibri" w:ascii="Calibri" w:hAnsi="Calibri"/>
                <w:w w:val="115"/>
                <w:sz w:val="13"/>
                <w:szCs w:val="13"/>
              </w:rPr>
              <w:t>oPA,</w:t>
            </w:r>
            <w:r>
              <w:rPr>
                <w:rFonts w:cs="Calibri" w:ascii="Calibri" w:hAnsi="Calibri"/>
                <w:spacing w:val="17"/>
                <w:w w:val="115"/>
                <w:sz w:val="13"/>
                <w:szCs w:val="13"/>
              </w:rPr>
              <w:t xml:space="preserve"> </w:t>
            </w:r>
            <w:r>
              <w:rPr>
                <w:rFonts w:cs="Calibri" w:ascii="Calibri" w:hAnsi="Calibri"/>
                <w:w w:val="115"/>
                <w:sz w:val="13"/>
                <w:szCs w:val="13"/>
              </w:rPr>
              <w:t>ovvero:</w:t>
            </w:r>
          </w:p>
          <w:p>
            <w:pPr>
              <w:pStyle w:val="TableParagraph"/>
              <w:numPr>
                <w:ilvl w:val="1"/>
                <w:numId w:val="3"/>
              </w:numPr>
              <w:tabs>
                <w:tab w:val="clear" w:pos="709"/>
                <w:tab w:val="left" w:pos="780" w:leader="none"/>
              </w:tabs>
              <w:ind w:left="454" w:hanging="227"/>
              <w:jc w:val="both"/>
              <w:rPr>
                <w:rFonts w:ascii="Calibri" w:hAnsi="Calibri" w:cs="Calibri"/>
                <w:sz w:val="13"/>
                <w:szCs w:val="13"/>
              </w:rPr>
            </w:pPr>
            <w:r>
              <w:rPr>
                <w:rFonts w:cs="Calibri" w:ascii="Calibri" w:hAnsi="Calibri"/>
                <w:w w:val="115"/>
                <w:sz w:val="13"/>
                <w:szCs w:val="13"/>
              </w:rPr>
              <w:t xml:space="preserve">"Delega </w:t>
            </w:r>
            <w:r>
              <w:rPr>
                <w:rFonts w:cs="Calibri" w:ascii="Calibri" w:hAnsi="Calibri"/>
                <w:spacing w:val="1"/>
                <w:w w:val="115"/>
                <w:sz w:val="13"/>
                <w:szCs w:val="13"/>
              </w:rPr>
              <w:t xml:space="preserve"> </w:t>
            </w:r>
            <w:r>
              <w:rPr>
                <w:rFonts w:cs="Calibri" w:ascii="Calibri" w:hAnsi="Calibri"/>
                <w:w w:val="115"/>
                <w:sz w:val="13"/>
                <w:szCs w:val="13"/>
              </w:rPr>
              <w:t xml:space="preserve">unica  </w:t>
            </w:r>
            <w:r>
              <w:rPr>
                <w:rFonts w:cs="Calibri" w:ascii="Calibri" w:hAnsi="Calibri"/>
                <w:spacing w:val="1"/>
                <w:w w:val="115"/>
                <w:sz w:val="13"/>
                <w:szCs w:val="13"/>
              </w:rPr>
              <w:t xml:space="preserve"> </w:t>
            </w:r>
            <w:r>
              <w:rPr>
                <w:rFonts w:cs="Calibri" w:ascii="Calibri" w:hAnsi="Calibri"/>
                <w:w w:val="115"/>
                <w:sz w:val="13"/>
                <w:szCs w:val="13"/>
              </w:rPr>
              <w:t>F24"</w:t>
            </w:r>
            <w:r>
              <w:rPr>
                <w:rFonts w:cs="Calibri" w:ascii="Calibri" w:hAnsi="Calibri"/>
                <w:spacing w:val="-43"/>
                <w:w w:val="115"/>
                <w:sz w:val="13"/>
                <w:szCs w:val="13"/>
              </w:rPr>
              <w:t xml:space="preserve"> </w:t>
            </w:r>
            <w:r>
              <w:rPr>
                <w:rFonts w:cs="Calibri" w:ascii="Calibri" w:hAnsi="Calibri"/>
                <w:w w:val="115"/>
                <w:sz w:val="13"/>
                <w:szCs w:val="13"/>
              </w:rPr>
              <w:t>(c.d.</w:t>
            </w:r>
            <w:r>
              <w:rPr>
                <w:rFonts w:cs="Calibri" w:ascii="Calibri" w:hAnsi="Calibri"/>
                <w:spacing w:val="1"/>
                <w:w w:val="115"/>
                <w:sz w:val="13"/>
                <w:szCs w:val="13"/>
              </w:rPr>
              <w:t xml:space="preserve"> </w:t>
            </w:r>
            <w:r>
              <w:rPr>
                <w:rFonts w:cs="Calibri" w:ascii="Calibri" w:hAnsi="Calibri"/>
                <w:w w:val="115"/>
                <w:sz w:val="13"/>
                <w:szCs w:val="13"/>
              </w:rPr>
              <w:t>modello</w:t>
            </w:r>
            <w:r>
              <w:rPr>
                <w:rFonts w:cs="Calibri" w:ascii="Calibri" w:hAnsi="Calibri"/>
                <w:spacing w:val="1"/>
                <w:w w:val="115"/>
                <w:sz w:val="13"/>
                <w:szCs w:val="13"/>
              </w:rPr>
              <w:t xml:space="preserve"> </w:t>
            </w:r>
            <w:r>
              <w:rPr>
                <w:rFonts w:cs="Calibri" w:ascii="Calibri" w:hAnsi="Calibri"/>
                <w:w w:val="115"/>
                <w:sz w:val="13"/>
                <w:szCs w:val="13"/>
              </w:rPr>
              <w:t>F24)</w:t>
            </w:r>
            <w:r>
              <w:rPr>
                <w:rFonts w:cs="Calibri" w:ascii="Calibri" w:hAnsi="Calibri"/>
                <w:spacing w:val="1"/>
                <w:w w:val="115"/>
                <w:sz w:val="13"/>
                <w:szCs w:val="13"/>
              </w:rPr>
              <w:t xml:space="preserve"> </w:t>
            </w:r>
            <w:r>
              <w:rPr>
                <w:rFonts w:cs="Calibri" w:ascii="Calibri" w:hAnsi="Calibri"/>
                <w:w w:val="115"/>
                <w:sz w:val="13"/>
                <w:szCs w:val="13"/>
              </w:rPr>
              <w:t>fino</w:t>
            </w:r>
            <w:r>
              <w:rPr>
                <w:rFonts w:cs="Calibri" w:ascii="Calibri" w:hAnsi="Calibri"/>
                <w:spacing w:val="-43"/>
                <w:w w:val="115"/>
                <w:sz w:val="13"/>
                <w:szCs w:val="13"/>
              </w:rPr>
              <w:t xml:space="preserve"> </w:t>
            </w:r>
            <w:r>
              <w:rPr>
                <w:rFonts w:cs="Calibri" w:ascii="Calibri" w:hAnsi="Calibri"/>
                <w:w w:val="115"/>
                <w:sz w:val="13"/>
                <w:szCs w:val="13"/>
              </w:rPr>
              <w:t>alla</w:t>
            </w:r>
            <w:r>
              <w:rPr>
                <w:rFonts w:cs="Calibri" w:ascii="Calibri" w:hAnsi="Calibri"/>
                <w:spacing w:val="1"/>
                <w:w w:val="115"/>
                <w:sz w:val="13"/>
                <w:szCs w:val="13"/>
              </w:rPr>
              <w:t xml:space="preserve"> </w:t>
            </w:r>
            <w:r>
              <w:rPr>
                <w:rFonts w:cs="Calibri" w:ascii="Calibri" w:hAnsi="Calibri"/>
                <w:w w:val="115"/>
                <w:sz w:val="13"/>
                <w:szCs w:val="13"/>
              </w:rPr>
              <w:t xml:space="preserve">sua </w:t>
            </w:r>
            <w:r>
              <w:rPr>
                <w:rFonts w:cs="Calibri" w:ascii="Calibri" w:hAnsi="Calibri"/>
                <w:spacing w:val="1"/>
                <w:w w:val="115"/>
                <w:sz w:val="13"/>
                <w:szCs w:val="13"/>
              </w:rPr>
              <w:t xml:space="preserve"> </w:t>
            </w:r>
            <w:r>
              <w:rPr>
                <w:rFonts w:cs="Calibri" w:ascii="Calibri" w:hAnsi="Calibri"/>
                <w:w w:val="115"/>
                <w:sz w:val="13"/>
                <w:szCs w:val="13"/>
              </w:rPr>
              <w:t>integrazione</w:t>
            </w:r>
            <w:r>
              <w:rPr>
                <w:rFonts w:cs="Calibri" w:ascii="Calibri" w:hAnsi="Calibri"/>
                <w:spacing w:val="-43"/>
                <w:w w:val="115"/>
                <w:sz w:val="13"/>
                <w:szCs w:val="13"/>
              </w:rPr>
              <w:t xml:space="preserve"> </w:t>
            </w:r>
            <w:r>
              <w:rPr>
                <w:rFonts w:cs="Calibri" w:ascii="Calibri" w:hAnsi="Calibri"/>
                <w:w w:val="115"/>
                <w:sz w:val="13"/>
                <w:szCs w:val="13"/>
              </w:rPr>
              <w:t>con</w:t>
            </w:r>
            <w:r>
              <w:rPr>
                <w:rFonts w:cs="Calibri" w:ascii="Calibri" w:hAnsi="Calibri"/>
                <w:spacing w:val="29"/>
                <w:w w:val="115"/>
                <w:sz w:val="13"/>
                <w:szCs w:val="13"/>
              </w:rPr>
              <w:t xml:space="preserve"> </w:t>
            </w:r>
            <w:r>
              <w:rPr>
                <w:rFonts w:cs="Calibri" w:ascii="Calibri" w:hAnsi="Calibri"/>
                <w:w w:val="115"/>
                <w:sz w:val="13"/>
                <w:szCs w:val="13"/>
              </w:rPr>
              <w:t>il</w:t>
            </w:r>
            <w:r>
              <w:rPr>
                <w:rFonts w:cs="Calibri" w:ascii="Calibri" w:hAnsi="Calibri"/>
                <w:spacing w:val="25"/>
                <w:w w:val="115"/>
                <w:sz w:val="13"/>
                <w:szCs w:val="13"/>
              </w:rPr>
              <w:t xml:space="preserve"> </w:t>
            </w:r>
            <w:r>
              <w:rPr>
                <w:rFonts w:cs="Calibri" w:ascii="Calibri" w:hAnsi="Calibri"/>
                <w:w w:val="115"/>
                <w:sz w:val="13"/>
                <w:szCs w:val="13"/>
              </w:rPr>
              <w:t>Sistema</w:t>
            </w:r>
            <w:r>
              <w:rPr>
                <w:rFonts w:cs="Calibri" w:ascii="Calibri" w:hAnsi="Calibri"/>
                <w:spacing w:val="27"/>
                <w:w w:val="115"/>
                <w:sz w:val="13"/>
                <w:szCs w:val="13"/>
              </w:rPr>
              <w:t xml:space="preserve"> </w:t>
            </w:r>
            <w:r>
              <w:rPr>
                <w:rFonts w:cs="Calibri" w:ascii="Calibri" w:hAnsi="Calibri"/>
                <w:w w:val="115"/>
                <w:sz w:val="13"/>
                <w:szCs w:val="13"/>
              </w:rPr>
              <w:t>pagoPA;</w:t>
            </w:r>
          </w:p>
          <w:p>
            <w:pPr>
              <w:pStyle w:val="TableParagraph"/>
              <w:numPr>
                <w:ilvl w:val="1"/>
                <w:numId w:val="3"/>
              </w:numPr>
              <w:tabs>
                <w:tab w:val="clear" w:pos="709"/>
                <w:tab w:val="left" w:pos="780" w:leader="none"/>
              </w:tabs>
              <w:ind w:left="454" w:hanging="227"/>
              <w:jc w:val="both"/>
              <w:rPr>
                <w:rFonts w:ascii="Calibri" w:hAnsi="Calibri" w:cs="Calibri"/>
                <w:sz w:val="13"/>
                <w:szCs w:val="13"/>
              </w:rPr>
            </w:pPr>
            <w:r>
              <w:rPr>
                <w:rFonts w:cs="Calibri" w:ascii="Calibri" w:hAnsi="Calibri"/>
                <w:w w:val="115"/>
                <w:sz w:val="13"/>
                <w:szCs w:val="13"/>
              </w:rPr>
              <w:t xml:space="preserve">Sepa </w:t>
            </w:r>
            <w:r>
              <w:rPr>
                <w:rFonts w:cs="Calibri" w:ascii="Calibri" w:hAnsi="Calibri"/>
                <w:spacing w:val="1"/>
                <w:w w:val="115"/>
                <w:sz w:val="13"/>
                <w:szCs w:val="13"/>
              </w:rPr>
              <w:t xml:space="preserve"> </w:t>
            </w:r>
            <w:r>
              <w:rPr>
                <w:rFonts w:cs="Calibri" w:ascii="Calibri" w:hAnsi="Calibri"/>
                <w:w w:val="115"/>
                <w:sz w:val="13"/>
                <w:szCs w:val="13"/>
              </w:rPr>
              <w:t xml:space="preserve">Direct </w:t>
            </w:r>
            <w:r>
              <w:rPr>
                <w:rFonts w:cs="Calibri" w:ascii="Calibri" w:hAnsi="Calibri"/>
                <w:spacing w:val="1"/>
                <w:w w:val="115"/>
                <w:sz w:val="13"/>
                <w:szCs w:val="13"/>
              </w:rPr>
              <w:t xml:space="preserve"> </w:t>
            </w:r>
            <w:r>
              <w:rPr>
                <w:rFonts w:cs="Calibri" w:ascii="Calibri" w:hAnsi="Calibri"/>
                <w:w w:val="115"/>
                <w:sz w:val="13"/>
                <w:szCs w:val="13"/>
              </w:rPr>
              <w:t>Debit</w:t>
            </w:r>
            <w:r>
              <w:rPr>
                <w:rFonts w:cs="Calibri" w:ascii="Calibri" w:hAnsi="Calibri"/>
                <w:spacing w:val="1"/>
                <w:w w:val="115"/>
                <w:sz w:val="13"/>
                <w:szCs w:val="13"/>
              </w:rPr>
              <w:t xml:space="preserve"> </w:t>
            </w:r>
            <w:r>
              <w:rPr>
                <w:rFonts w:cs="Calibri" w:ascii="Calibri" w:hAnsi="Calibri"/>
                <w:w w:val="115"/>
                <w:sz w:val="13"/>
                <w:szCs w:val="13"/>
              </w:rPr>
              <w:t>(SDD)</w:t>
            </w:r>
            <w:r>
              <w:rPr>
                <w:rFonts w:cs="Calibri" w:ascii="Calibri" w:hAnsi="Calibri"/>
                <w:spacing w:val="24"/>
                <w:w w:val="115"/>
                <w:sz w:val="13"/>
                <w:szCs w:val="13"/>
              </w:rPr>
              <w:t xml:space="preserve"> </w:t>
            </w:r>
            <w:r>
              <w:rPr>
                <w:rFonts w:cs="Calibri" w:ascii="Calibri" w:hAnsi="Calibri"/>
                <w:w w:val="115"/>
                <w:sz w:val="13"/>
                <w:szCs w:val="13"/>
              </w:rPr>
              <w:t>fino</w:t>
            </w:r>
            <w:r>
              <w:rPr>
                <w:rFonts w:cs="Calibri" w:ascii="Calibri" w:hAnsi="Calibri"/>
                <w:spacing w:val="24"/>
                <w:w w:val="115"/>
                <w:sz w:val="13"/>
                <w:szCs w:val="13"/>
              </w:rPr>
              <w:t xml:space="preserve"> </w:t>
            </w:r>
            <w:r>
              <w:rPr>
                <w:rFonts w:cs="Calibri" w:ascii="Calibri" w:hAnsi="Calibri"/>
                <w:w w:val="115"/>
                <w:sz w:val="13"/>
                <w:szCs w:val="13"/>
              </w:rPr>
              <w:t>alla</w:t>
            </w:r>
            <w:r>
              <w:rPr>
                <w:rFonts w:cs="Calibri" w:ascii="Calibri" w:hAnsi="Calibri"/>
                <w:spacing w:val="24"/>
                <w:w w:val="115"/>
                <w:sz w:val="13"/>
                <w:szCs w:val="13"/>
              </w:rPr>
              <w:t xml:space="preserve"> </w:t>
            </w:r>
            <w:r>
              <w:rPr>
                <w:rFonts w:cs="Calibri" w:ascii="Calibri" w:hAnsi="Calibri"/>
                <w:w w:val="115"/>
                <w:sz w:val="13"/>
                <w:szCs w:val="13"/>
              </w:rPr>
              <w:t xml:space="preserve">sua </w:t>
            </w:r>
            <w:r>
              <w:rPr>
                <w:w w:val="115"/>
                <w:sz w:val="13"/>
                <w:szCs w:val="13"/>
              </w:rPr>
              <w:t>integrazione</w:t>
              <w:tab/>
              <w:t>con</w:t>
              <w:tab/>
            </w:r>
            <w:r>
              <w:rPr>
                <w:spacing w:val="-3"/>
                <w:w w:val="115"/>
                <w:sz w:val="13"/>
                <w:szCs w:val="13"/>
              </w:rPr>
              <w:t>il</w:t>
            </w:r>
            <w:r>
              <w:rPr>
                <w:spacing w:val="-43"/>
                <w:w w:val="115"/>
                <w:sz w:val="13"/>
                <w:szCs w:val="13"/>
              </w:rPr>
              <w:t xml:space="preserve"> </w:t>
            </w:r>
            <w:r>
              <w:rPr>
                <w:w w:val="115"/>
                <w:sz w:val="13"/>
                <w:szCs w:val="13"/>
              </w:rPr>
              <w:t>S</w:t>
            </w:r>
            <w:r>
              <w:rPr>
                <w:rFonts w:cs="Calibri" w:ascii="Calibri" w:hAnsi="Calibri"/>
                <w:w w:val="115"/>
                <w:sz w:val="13"/>
                <w:szCs w:val="13"/>
              </w:rPr>
              <w:t>istema</w:t>
            </w:r>
            <w:r>
              <w:rPr>
                <w:rFonts w:cs="Calibri" w:ascii="Calibri" w:hAnsi="Calibri"/>
                <w:spacing w:val="19"/>
                <w:w w:val="115"/>
                <w:sz w:val="13"/>
                <w:szCs w:val="13"/>
              </w:rPr>
              <w:t xml:space="preserve"> </w:t>
            </w:r>
            <w:r>
              <w:rPr>
                <w:rFonts w:cs="Calibri" w:ascii="Calibri" w:hAnsi="Calibri"/>
                <w:w w:val="115"/>
                <w:sz w:val="13"/>
                <w:szCs w:val="13"/>
              </w:rPr>
              <w:t>pagoPA;</w:t>
            </w:r>
          </w:p>
          <w:p>
            <w:pPr>
              <w:pStyle w:val="TableParagraph"/>
              <w:numPr>
                <w:ilvl w:val="0"/>
                <w:numId w:val="5"/>
              </w:numPr>
              <w:tabs>
                <w:tab w:val="clear" w:pos="709"/>
                <w:tab w:val="left" w:pos="0" w:leader="none"/>
              </w:tabs>
              <w:ind w:left="227" w:hanging="227"/>
              <w:jc w:val="both"/>
              <w:rPr>
                <w:rFonts w:ascii="Calibri" w:hAnsi="Calibri" w:cs="Calibri"/>
                <w:sz w:val="13"/>
                <w:szCs w:val="13"/>
              </w:rPr>
            </w:pPr>
            <w:r>
              <w:rPr>
                <w:rFonts w:cs="Calibri" w:ascii="Calibri" w:hAnsi="Calibri"/>
                <w:w w:val="115"/>
                <w:sz w:val="13"/>
                <w:szCs w:val="13"/>
              </w:rPr>
              <w:t>eventuali</w:t>
            </w:r>
            <w:r>
              <w:rPr>
                <w:rFonts w:cs="Calibri" w:ascii="Calibri" w:hAnsi="Calibri"/>
                <w:spacing w:val="1"/>
                <w:w w:val="115"/>
                <w:sz w:val="13"/>
                <w:szCs w:val="13"/>
              </w:rPr>
              <w:t xml:space="preserve"> </w:t>
            </w:r>
            <w:r>
              <w:rPr>
                <w:rFonts w:cs="Calibri" w:ascii="Calibri" w:hAnsi="Calibri"/>
                <w:w w:val="115"/>
                <w:sz w:val="13"/>
                <w:szCs w:val="13"/>
              </w:rPr>
              <w:t>altri</w:t>
            </w:r>
            <w:r>
              <w:rPr>
                <w:rFonts w:cs="Calibri" w:ascii="Calibri" w:hAnsi="Calibri"/>
                <w:spacing w:val="1"/>
                <w:w w:val="115"/>
                <w:sz w:val="13"/>
                <w:szCs w:val="13"/>
              </w:rPr>
              <w:t xml:space="preserve"> </w:t>
            </w:r>
            <w:r>
              <w:rPr>
                <w:rFonts w:cs="Calibri" w:ascii="Calibri" w:hAnsi="Calibri"/>
                <w:w w:val="115"/>
                <w:sz w:val="13"/>
                <w:szCs w:val="13"/>
              </w:rPr>
              <w:t>servizi</w:t>
            </w:r>
            <w:r>
              <w:rPr>
                <w:rFonts w:cs="Calibri" w:ascii="Calibri" w:hAnsi="Calibri"/>
                <w:spacing w:val="1"/>
                <w:w w:val="115"/>
                <w:sz w:val="13"/>
                <w:szCs w:val="13"/>
              </w:rPr>
              <w:t xml:space="preserve"> </w:t>
            </w:r>
            <w:r>
              <w:rPr>
                <w:rFonts w:cs="Calibri" w:ascii="Calibri" w:hAnsi="Calibri"/>
                <w:w w:val="115"/>
                <w:sz w:val="13"/>
                <w:szCs w:val="13"/>
              </w:rPr>
              <w:t>di</w:t>
            </w:r>
            <w:r>
              <w:rPr>
                <w:rFonts w:cs="Calibri" w:ascii="Calibri" w:hAnsi="Calibri"/>
                <w:spacing w:val="1"/>
                <w:w w:val="115"/>
                <w:sz w:val="13"/>
                <w:szCs w:val="13"/>
              </w:rPr>
              <w:t xml:space="preserve"> </w:t>
            </w:r>
            <w:r>
              <w:rPr>
                <w:rFonts w:cs="Calibri" w:ascii="Calibri" w:hAnsi="Calibri"/>
                <w:w w:val="115"/>
                <w:sz w:val="13"/>
                <w:szCs w:val="13"/>
              </w:rPr>
              <w:t>pagamento</w:t>
            </w:r>
            <w:r>
              <w:rPr>
                <w:rFonts w:cs="Calibri" w:ascii="Calibri" w:hAnsi="Calibri"/>
                <w:spacing w:val="1"/>
                <w:w w:val="115"/>
                <w:sz w:val="13"/>
                <w:szCs w:val="13"/>
              </w:rPr>
              <w:t xml:space="preserve"> </w:t>
            </w:r>
            <w:r>
              <w:rPr>
                <w:rFonts w:cs="Calibri" w:ascii="Calibri" w:hAnsi="Calibri"/>
                <w:w w:val="115"/>
                <w:sz w:val="13"/>
                <w:szCs w:val="13"/>
              </w:rPr>
              <w:t xml:space="preserve">non </w:t>
            </w:r>
            <w:r>
              <w:rPr>
                <w:rFonts w:cs="Calibri" w:ascii="Calibri" w:hAnsi="Calibri"/>
                <w:spacing w:val="1"/>
                <w:w w:val="115"/>
                <w:sz w:val="13"/>
                <w:szCs w:val="13"/>
              </w:rPr>
              <w:t xml:space="preserve"> </w:t>
            </w:r>
            <w:r>
              <w:rPr>
                <w:rFonts w:cs="Calibri" w:ascii="Calibri" w:hAnsi="Calibri"/>
                <w:w w:val="115"/>
                <w:sz w:val="13"/>
                <w:szCs w:val="13"/>
              </w:rPr>
              <w:t>ancora</w:t>
            </w:r>
            <w:r>
              <w:rPr>
                <w:rFonts w:cs="Calibri" w:ascii="Calibri" w:hAnsi="Calibri"/>
                <w:spacing w:val="1"/>
                <w:w w:val="115"/>
                <w:sz w:val="13"/>
                <w:szCs w:val="13"/>
              </w:rPr>
              <w:t xml:space="preserve"> </w:t>
            </w:r>
            <w:r>
              <w:rPr>
                <w:rFonts w:cs="Calibri" w:ascii="Calibri" w:hAnsi="Calibri"/>
                <w:w w:val="115"/>
                <w:sz w:val="13"/>
                <w:szCs w:val="13"/>
              </w:rPr>
              <w:t>integrati con il Sistema pagoPA</w:t>
            </w:r>
            <w:r>
              <w:rPr>
                <w:rFonts w:cs="Calibri" w:ascii="Calibri" w:hAnsi="Calibri"/>
                <w:spacing w:val="1"/>
                <w:w w:val="115"/>
                <w:sz w:val="13"/>
                <w:szCs w:val="13"/>
              </w:rPr>
              <w:t xml:space="preserve"> </w:t>
            </w:r>
            <w:r>
              <w:rPr>
                <w:rFonts w:cs="Calibri" w:ascii="Calibri" w:hAnsi="Calibri"/>
                <w:w w:val="115"/>
                <w:sz w:val="13"/>
                <w:szCs w:val="13"/>
              </w:rPr>
              <w:t>e che</w:t>
            </w:r>
            <w:r>
              <w:rPr>
                <w:rFonts w:cs="Calibri" w:ascii="Calibri" w:hAnsi="Calibri"/>
                <w:spacing w:val="1"/>
                <w:w w:val="115"/>
                <w:sz w:val="13"/>
                <w:szCs w:val="13"/>
              </w:rPr>
              <w:t xml:space="preserve"> </w:t>
            </w:r>
            <w:r>
              <w:rPr>
                <w:rFonts w:cs="Calibri" w:ascii="Calibri" w:hAnsi="Calibri"/>
                <w:w w:val="115"/>
                <w:sz w:val="13"/>
                <w:szCs w:val="13"/>
              </w:rPr>
              <w:t>non risultino</w:t>
            </w:r>
            <w:r>
              <w:rPr>
                <w:rFonts w:cs="Calibri" w:ascii="Calibri" w:hAnsi="Calibri"/>
                <w:spacing w:val="1"/>
                <w:w w:val="115"/>
                <w:sz w:val="13"/>
                <w:szCs w:val="13"/>
              </w:rPr>
              <w:t xml:space="preserve"> </w:t>
            </w:r>
            <w:r>
              <w:rPr>
                <w:rFonts w:cs="Calibri" w:ascii="Calibri" w:hAnsi="Calibri"/>
                <w:w w:val="115"/>
                <w:sz w:val="13"/>
                <w:szCs w:val="13"/>
              </w:rPr>
              <w:t>sostituibili</w:t>
            </w:r>
            <w:r>
              <w:rPr>
                <w:rFonts w:cs="Calibri" w:ascii="Calibri" w:hAnsi="Calibri"/>
                <w:spacing w:val="1"/>
                <w:w w:val="115"/>
                <w:sz w:val="13"/>
                <w:szCs w:val="13"/>
              </w:rPr>
              <w:t xml:space="preserve"> </w:t>
            </w:r>
            <w:r>
              <w:rPr>
                <w:rFonts w:cs="Calibri" w:ascii="Calibri" w:hAnsi="Calibri"/>
                <w:w w:val="115"/>
                <w:sz w:val="13"/>
                <w:szCs w:val="13"/>
              </w:rPr>
              <w:t>con</w:t>
            </w:r>
            <w:r>
              <w:rPr>
                <w:rFonts w:cs="Calibri" w:ascii="Calibri" w:hAnsi="Calibri"/>
                <w:spacing w:val="1"/>
                <w:w w:val="115"/>
                <w:sz w:val="13"/>
                <w:szCs w:val="13"/>
              </w:rPr>
              <w:t xml:space="preserve"> </w:t>
            </w:r>
            <w:r>
              <w:rPr>
                <w:rFonts w:cs="Calibri" w:ascii="Calibri" w:hAnsi="Calibri"/>
                <w:w w:val="115"/>
                <w:sz w:val="13"/>
                <w:szCs w:val="13"/>
              </w:rPr>
              <w:t>quelli</w:t>
            </w:r>
            <w:r>
              <w:rPr>
                <w:rFonts w:cs="Calibri" w:ascii="Calibri" w:hAnsi="Calibri"/>
                <w:spacing w:val="1"/>
                <w:w w:val="115"/>
                <w:sz w:val="13"/>
                <w:szCs w:val="13"/>
              </w:rPr>
              <w:t xml:space="preserve"> </w:t>
            </w:r>
            <w:r>
              <w:rPr>
                <w:rFonts w:cs="Calibri" w:ascii="Calibri" w:hAnsi="Calibri"/>
                <w:w w:val="115"/>
                <w:sz w:val="13"/>
                <w:szCs w:val="13"/>
              </w:rPr>
              <w:t>erogati</w:t>
            </w:r>
            <w:r>
              <w:rPr>
                <w:rFonts w:cs="Calibri" w:ascii="Calibri" w:hAnsi="Calibri"/>
                <w:spacing w:val="1"/>
                <w:w w:val="115"/>
                <w:sz w:val="13"/>
                <w:szCs w:val="13"/>
              </w:rPr>
              <w:t xml:space="preserve"> </w:t>
            </w:r>
            <w:r>
              <w:rPr>
                <w:rFonts w:cs="Calibri" w:ascii="Calibri" w:hAnsi="Calibri"/>
                <w:w w:val="115"/>
                <w:sz w:val="13"/>
                <w:szCs w:val="13"/>
              </w:rPr>
              <w:t>tramite</w:t>
            </w:r>
            <w:r>
              <w:rPr>
                <w:rFonts w:cs="Calibri" w:ascii="Calibri" w:hAnsi="Calibri"/>
                <w:spacing w:val="-43"/>
                <w:w w:val="115"/>
                <w:sz w:val="13"/>
                <w:szCs w:val="13"/>
              </w:rPr>
              <w:t xml:space="preserve"> </w:t>
            </w:r>
            <w:r>
              <w:rPr>
                <w:rFonts w:cs="Calibri" w:ascii="Calibri" w:hAnsi="Calibri"/>
                <w:w w:val="115"/>
                <w:sz w:val="13"/>
                <w:szCs w:val="13"/>
              </w:rPr>
              <w:t>pagoPA</w:t>
            </w:r>
            <w:r>
              <w:rPr>
                <w:rFonts w:cs="Calibri" w:ascii="Calibri" w:hAnsi="Calibri"/>
                <w:spacing w:val="1"/>
                <w:w w:val="115"/>
                <w:sz w:val="13"/>
                <w:szCs w:val="13"/>
              </w:rPr>
              <w:t xml:space="preserve"> </w:t>
            </w:r>
            <w:r>
              <w:rPr>
                <w:rFonts w:cs="Calibri" w:ascii="Calibri" w:hAnsi="Calibri"/>
                <w:w w:val="115"/>
                <w:sz w:val="13"/>
                <w:szCs w:val="13"/>
              </w:rPr>
              <w:t>poiché</w:t>
            </w:r>
            <w:r>
              <w:rPr>
                <w:rFonts w:cs="Calibri" w:ascii="Calibri" w:hAnsi="Calibri"/>
                <w:spacing w:val="1"/>
                <w:w w:val="115"/>
                <w:sz w:val="13"/>
                <w:szCs w:val="13"/>
              </w:rPr>
              <w:t xml:space="preserve"> </w:t>
            </w:r>
            <w:r>
              <w:rPr>
                <w:rFonts w:cs="Calibri" w:ascii="Calibri" w:hAnsi="Calibri"/>
                <w:w w:val="115"/>
                <w:sz w:val="13"/>
                <w:szCs w:val="13"/>
              </w:rPr>
              <w:t>una</w:t>
            </w:r>
            <w:r>
              <w:rPr>
                <w:rFonts w:cs="Calibri" w:ascii="Calibri" w:hAnsi="Calibri"/>
                <w:spacing w:val="1"/>
                <w:w w:val="115"/>
                <w:sz w:val="13"/>
                <w:szCs w:val="13"/>
              </w:rPr>
              <w:t xml:space="preserve"> </w:t>
            </w:r>
            <w:r>
              <w:rPr>
                <w:rFonts w:cs="Calibri" w:ascii="Calibri" w:hAnsi="Calibri"/>
                <w:w w:val="115"/>
                <w:sz w:val="13"/>
                <w:szCs w:val="13"/>
              </w:rPr>
              <w:t>specifica</w:t>
            </w:r>
            <w:r>
              <w:rPr>
                <w:rFonts w:cs="Calibri" w:ascii="Calibri" w:hAnsi="Calibri"/>
                <w:spacing w:val="-43"/>
                <w:w w:val="115"/>
                <w:sz w:val="13"/>
                <w:szCs w:val="13"/>
              </w:rPr>
              <w:t xml:space="preserve"> </w:t>
            </w:r>
            <w:r>
              <w:rPr>
                <w:rFonts w:cs="Calibri" w:ascii="Calibri" w:hAnsi="Calibri"/>
                <w:w w:val="115"/>
                <w:sz w:val="13"/>
                <w:szCs w:val="13"/>
              </w:rPr>
              <w:t>previsione</w:t>
            </w:r>
            <w:r>
              <w:rPr>
                <w:rFonts w:cs="Calibri" w:ascii="Calibri" w:hAnsi="Calibri"/>
                <w:spacing w:val="1"/>
                <w:w w:val="115"/>
                <w:sz w:val="13"/>
                <w:szCs w:val="13"/>
              </w:rPr>
              <w:t xml:space="preserve"> </w:t>
            </w:r>
            <w:r>
              <w:rPr>
                <w:rFonts w:cs="Calibri" w:ascii="Calibri" w:hAnsi="Calibri"/>
                <w:w w:val="115"/>
                <w:sz w:val="13"/>
                <w:szCs w:val="13"/>
              </w:rPr>
              <w:t>di</w:t>
            </w:r>
            <w:r>
              <w:rPr>
                <w:rFonts w:cs="Calibri" w:ascii="Calibri" w:hAnsi="Calibri"/>
                <w:spacing w:val="1"/>
                <w:w w:val="115"/>
                <w:sz w:val="13"/>
                <w:szCs w:val="13"/>
              </w:rPr>
              <w:t xml:space="preserve"> </w:t>
            </w:r>
            <w:r>
              <w:rPr>
                <w:rFonts w:cs="Calibri" w:ascii="Calibri" w:hAnsi="Calibri"/>
                <w:w w:val="115"/>
                <w:sz w:val="13"/>
                <w:szCs w:val="13"/>
              </w:rPr>
              <w:t>legge  ne impone</w:t>
            </w:r>
            <w:r>
              <w:rPr>
                <w:rFonts w:cs="Calibri" w:ascii="Calibri" w:hAnsi="Calibri"/>
                <w:spacing w:val="-43"/>
                <w:w w:val="115"/>
                <w:sz w:val="13"/>
                <w:szCs w:val="13"/>
              </w:rPr>
              <w:t xml:space="preserve"> </w:t>
            </w:r>
            <w:r>
              <w:rPr>
                <w:rFonts w:cs="Calibri" w:ascii="Calibri" w:hAnsi="Calibri"/>
                <w:w w:val="115"/>
                <w:sz w:val="13"/>
                <w:szCs w:val="13"/>
              </w:rPr>
              <w:t>la</w:t>
            </w:r>
            <w:r>
              <w:rPr>
                <w:rFonts w:cs="Calibri" w:ascii="Calibri" w:hAnsi="Calibri"/>
                <w:spacing w:val="1"/>
                <w:w w:val="115"/>
                <w:sz w:val="13"/>
                <w:szCs w:val="13"/>
              </w:rPr>
              <w:t xml:space="preserve"> </w:t>
            </w:r>
            <w:r>
              <w:rPr>
                <w:rFonts w:cs="Calibri" w:ascii="Calibri" w:hAnsi="Calibri"/>
                <w:w w:val="115"/>
                <w:sz w:val="13"/>
                <w:szCs w:val="13"/>
              </w:rPr>
              <w:t>messa</w:t>
            </w:r>
            <w:r>
              <w:rPr>
                <w:rFonts w:cs="Calibri" w:ascii="Calibri" w:hAnsi="Calibri"/>
                <w:spacing w:val="1"/>
                <w:w w:val="115"/>
                <w:sz w:val="13"/>
                <w:szCs w:val="13"/>
              </w:rPr>
              <w:t xml:space="preserve"> </w:t>
            </w:r>
            <w:r>
              <w:rPr>
                <w:rFonts w:cs="Calibri" w:ascii="Calibri" w:hAnsi="Calibri"/>
                <w:w w:val="115"/>
                <w:sz w:val="13"/>
                <w:szCs w:val="13"/>
              </w:rPr>
              <w:t>a</w:t>
            </w:r>
            <w:r>
              <w:rPr>
                <w:rFonts w:cs="Calibri" w:ascii="Calibri" w:hAnsi="Calibri"/>
                <w:spacing w:val="1"/>
                <w:w w:val="115"/>
                <w:sz w:val="13"/>
                <w:szCs w:val="13"/>
              </w:rPr>
              <w:t xml:space="preserve"> </w:t>
            </w:r>
            <w:r>
              <w:rPr>
                <w:rFonts w:cs="Calibri" w:ascii="Calibri" w:hAnsi="Calibri"/>
                <w:w w:val="115"/>
                <w:sz w:val="13"/>
                <w:szCs w:val="13"/>
              </w:rPr>
              <w:t>disposizione</w:t>
            </w:r>
            <w:r>
              <w:rPr>
                <w:rFonts w:cs="Calibri" w:ascii="Calibri" w:hAnsi="Calibri"/>
                <w:spacing w:val="1"/>
                <w:w w:val="115"/>
                <w:sz w:val="13"/>
                <w:szCs w:val="13"/>
              </w:rPr>
              <w:t xml:space="preserve"> </w:t>
            </w:r>
            <w:r>
              <w:rPr>
                <w:rFonts w:cs="Calibri" w:ascii="Calibri" w:hAnsi="Calibri"/>
                <w:w w:val="115"/>
                <w:sz w:val="13"/>
                <w:szCs w:val="13"/>
              </w:rPr>
              <w:t>dell’utenza per l’esecuzione del</w:t>
            </w:r>
            <w:r>
              <w:rPr>
                <w:rFonts w:cs="Calibri" w:ascii="Calibri" w:hAnsi="Calibri"/>
                <w:spacing w:val="1"/>
                <w:w w:val="115"/>
                <w:sz w:val="13"/>
                <w:szCs w:val="13"/>
              </w:rPr>
              <w:t xml:space="preserve"> </w:t>
            </w:r>
            <w:r>
              <w:rPr>
                <w:rFonts w:cs="Calibri" w:ascii="Calibri" w:hAnsi="Calibri"/>
                <w:w w:val="115"/>
                <w:sz w:val="13"/>
                <w:szCs w:val="13"/>
              </w:rPr>
              <w:t>pagamento;</w:t>
            </w:r>
          </w:p>
          <w:p>
            <w:pPr>
              <w:pStyle w:val="TableParagraph"/>
              <w:numPr>
                <w:ilvl w:val="0"/>
                <w:numId w:val="5"/>
              </w:numPr>
              <w:tabs>
                <w:tab w:val="clear" w:pos="709"/>
                <w:tab w:val="left" w:pos="0" w:leader="none"/>
              </w:tabs>
              <w:ind w:left="227" w:hanging="227"/>
              <w:jc w:val="both"/>
              <w:rPr>
                <w:sz w:val="13"/>
                <w:szCs w:val="13"/>
              </w:rPr>
            </w:pPr>
            <w:r>
              <w:rPr>
                <w:rFonts w:cs="Calibri" w:ascii="Calibri" w:hAnsi="Calibri"/>
                <w:w w:val="115"/>
                <w:sz w:val="13"/>
                <w:szCs w:val="13"/>
              </w:rPr>
              <w:t>per</w:t>
            </w:r>
            <w:r>
              <w:rPr>
                <w:rFonts w:cs="Calibri" w:ascii="Calibri" w:hAnsi="Calibri"/>
                <w:spacing w:val="1"/>
                <w:w w:val="115"/>
                <w:sz w:val="13"/>
                <w:szCs w:val="13"/>
              </w:rPr>
              <w:t xml:space="preserve"> </w:t>
            </w:r>
            <w:r>
              <w:rPr>
                <w:rFonts w:cs="Calibri" w:ascii="Calibri" w:hAnsi="Calibri"/>
                <w:w w:val="115"/>
                <w:sz w:val="13"/>
                <w:szCs w:val="13"/>
              </w:rPr>
              <w:t>cassa,</w:t>
            </w:r>
            <w:r>
              <w:rPr>
                <w:rFonts w:cs="Calibri" w:ascii="Calibri" w:hAnsi="Calibri"/>
                <w:spacing w:val="1"/>
                <w:w w:val="115"/>
                <w:sz w:val="13"/>
                <w:szCs w:val="13"/>
              </w:rPr>
              <w:t xml:space="preserve"> </w:t>
            </w:r>
            <w:r>
              <w:rPr>
                <w:rFonts w:cs="Calibri" w:ascii="Calibri" w:hAnsi="Calibri"/>
                <w:w w:val="115"/>
                <w:sz w:val="13"/>
                <w:szCs w:val="13"/>
              </w:rPr>
              <w:t>presso</w:t>
            </w:r>
            <w:r>
              <w:rPr>
                <w:rFonts w:cs="Calibri" w:ascii="Calibri" w:hAnsi="Calibri"/>
                <w:spacing w:val="1"/>
                <w:w w:val="115"/>
                <w:sz w:val="13"/>
                <w:szCs w:val="13"/>
              </w:rPr>
              <w:t xml:space="preserve"> </w:t>
            </w:r>
            <w:r>
              <w:rPr>
                <w:rFonts w:cs="Calibri" w:ascii="Calibri" w:hAnsi="Calibri"/>
                <w:w w:val="115"/>
                <w:sz w:val="13"/>
                <w:szCs w:val="13"/>
              </w:rPr>
              <w:t>il</w:t>
            </w:r>
            <w:r>
              <w:rPr>
                <w:rFonts w:cs="Calibri" w:ascii="Calibri" w:hAnsi="Calibri"/>
                <w:spacing w:val="1"/>
                <w:w w:val="115"/>
                <w:sz w:val="13"/>
                <w:szCs w:val="13"/>
              </w:rPr>
              <w:t xml:space="preserve"> </w:t>
            </w:r>
            <w:r>
              <w:rPr>
                <w:rFonts w:cs="Calibri" w:ascii="Calibri" w:hAnsi="Calibri"/>
                <w:w w:val="115"/>
                <w:sz w:val="13"/>
                <w:szCs w:val="13"/>
              </w:rPr>
              <w:t>soggetto</w:t>
            </w:r>
            <w:r>
              <w:rPr>
                <w:rFonts w:cs="Calibri" w:ascii="Calibri" w:hAnsi="Calibri"/>
                <w:spacing w:val="-43"/>
                <w:w w:val="115"/>
                <w:sz w:val="13"/>
                <w:szCs w:val="13"/>
              </w:rPr>
              <w:t xml:space="preserve"> </w:t>
            </w:r>
            <w:r>
              <w:rPr>
                <w:rFonts w:cs="Calibri" w:ascii="Calibri" w:hAnsi="Calibri"/>
                <w:w w:val="115"/>
                <w:sz w:val="13"/>
                <w:szCs w:val="13"/>
              </w:rPr>
              <w:t xml:space="preserve">che  </w:t>
            </w:r>
            <w:r>
              <w:rPr>
                <w:rFonts w:cs="Calibri" w:ascii="Calibri" w:hAnsi="Calibri"/>
                <w:spacing w:val="22"/>
                <w:w w:val="115"/>
                <w:sz w:val="13"/>
                <w:szCs w:val="13"/>
              </w:rPr>
              <w:t xml:space="preserve"> </w:t>
            </w:r>
            <w:r>
              <w:rPr>
                <w:rFonts w:cs="Calibri" w:ascii="Calibri" w:hAnsi="Calibri"/>
                <w:w w:val="115"/>
                <w:sz w:val="13"/>
                <w:szCs w:val="13"/>
              </w:rPr>
              <w:t xml:space="preserve">per  </w:t>
            </w:r>
            <w:r>
              <w:rPr>
                <w:rFonts w:cs="Calibri" w:ascii="Calibri" w:hAnsi="Calibri"/>
                <w:spacing w:val="27"/>
                <w:w w:val="115"/>
                <w:sz w:val="13"/>
                <w:szCs w:val="13"/>
              </w:rPr>
              <w:t xml:space="preserve"> </w:t>
            </w:r>
            <w:r>
              <w:rPr>
                <w:rFonts w:cs="Calibri" w:ascii="Calibri" w:hAnsi="Calibri"/>
                <w:w w:val="115"/>
                <w:sz w:val="13"/>
                <w:szCs w:val="13"/>
              </w:rPr>
              <w:t xml:space="preserve">tale  </w:t>
            </w:r>
            <w:r>
              <w:rPr>
                <w:rFonts w:cs="Calibri" w:ascii="Calibri" w:hAnsi="Calibri"/>
                <w:spacing w:val="23"/>
                <w:w w:val="115"/>
                <w:sz w:val="13"/>
                <w:szCs w:val="13"/>
              </w:rPr>
              <w:t xml:space="preserve"> </w:t>
            </w:r>
            <w:r>
              <w:rPr>
                <w:rFonts w:cs="Calibri" w:ascii="Calibri" w:hAnsi="Calibri"/>
                <w:w w:val="115"/>
                <w:sz w:val="13"/>
                <w:szCs w:val="13"/>
              </w:rPr>
              <w:t xml:space="preserve">ente  </w:t>
            </w:r>
            <w:r>
              <w:rPr>
                <w:rFonts w:cs="Calibri" w:ascii="Calibri" w:hAnsi="Calibri"/>
                <w:spacing w:val="24"/>
                <w:w w:val="115"/>
                <w:sz w:val="13"/>
                <w:szCs w:val="13"/>
              </w:rPr>
              <w:t xml:space="preserve"> </w:t>
            </w:r>
            <w:r>
              <w:rPr>
                <w:rFonts w:cs="Calibri" w:ascii="Calibri" w:hAnsi="Calibri"/>
                <w:w w:val="115"/>
                <w:sz w:val="13"/>
                <w:szCs w:val="13"/>
              </w:rPr>
              <w:t xml:space="preserve">svolge  </w:t>
            </w:r>
            <w:r>
              <w:rPr>
                <w:rFonts w:cs="Calibri" w:ascii="Calibri" w:hAnsi="Calibri"/>
                <w:spacing w:val="23"/>
                <w:w w:val="115"/>
                <w:sz w:val="13"/>
                <w:szCs w:val="13"/>
              </w:rPr>
              <w:t xml:space="preserve"> </w:t>
            </w:r>
            <w:r>
              <w:rPr>
                <w:rFonts w:cs="Calibri" w:ascii="Calibri" w:hAnsi="Calibri"/>
                <w:w w:val="115"/>
                <w:sz w:val="13"/>
                <w:szCs w:val="13"/>
              </w:rPr>
              <w:t>il</w:t>
            </w:r>
            <w:r>
              <w:rPr>
                <w:rFonts w:cs="Calibri" w:ascii="Calibri" w:hAnsi="Calibri"/>
                <w:sz w:val="13"/>
                <w:szCs w:val="13"/>
              </w:rPr>
              <w:t xml:space="preserve"> </w:t>
            </w:r>
            <w:r>
              <w:rPr>
                <w:rFonts w:cs="Calibri" w:ascii="Calibri" w:hAnsi="Calibri"/>
                <w:w w:val="115"/>
                <w:sz w:val="13"/>
                <w:szCs w:val="13"/>
              </w:rPr>
              <w:t>servizio</w:t>
            </w:r>
            <w:r>
              <w:rPr>
                <w:rFonts w:cs="Calibri" w:ascii="Calibri" w:hAnsi="Calibri"/>
                <w:spacing w:val="22"/>
                <w:w w:val="115"/>
                <w:sz w:val="13"/>
                <w:szCs w:val="13"/>
              </w:rPr>
              <w:t xml:space="preserve"> </w:t>
            </w:r>
            <w:r>
              <w:rPr>
                <w:rFonts w:cs="Calibri" w:ascii="Calibri" w:hAnsi="Calibri"/>
                <w:w w:val="115"/>
                <w:sz w:val="13"/>
                <w:szCs w:val="13"/>
              </w:rPr>
              <w:t>di</w:t>
            </w:r>
            <w:r>
              <w:rPr>
                <w:rFonts w:cs="Calibri" w:ascii="Calibri" w:hAnsi="Calibri"/>
                <w:spacing w:val="21"/>
                <w:w w:val="115"/>
                <w:sz w:val="13"/>
                <w:szCs w:val="13"/>
              </w:rPr>
              <w:t xml:space="preserve"> </w:t>
            </w:r>
            <w:r>
              <w:rPr>
                <w:rFonts w:cs="Calibri" w:ascii="Calibri" w:hAnsi="Calibri"/>
                <w:w w:val="115"/>
                <w:sz w:val="13"/>
                <w:szCs w:val="13"/>
              </w:rPr>
              <w:t>tesoreria</w:t>
            </w:r>
            <w:r>
              <w:rPr>
                <w:rFonts w:cs="Calibri" w:ascii="Calibri" w:hAnsi="Calibri"/>
                <w:spacing w:val="20"/>
                <w:w w:val="115"/>
                <w:sz w:val="13"/>
                <w:szCs w:val="13"/>
              </w:rPr>
              <w:t xml:space="preserve"> </w:t>
            </w:r>
            <w:r>
              <w:rPr>
                <w:rFonts w:cs="Calibri" w:ascii="Calibri" w:hAnsi="Calibri"/>
                <w:w w:val="115"/>
                <w:sz w:val="13"/>
                <w:szCs w:val="13"/>
              </w:rPr>
              <w:t>o</w:t>
            </w:r>
            <w:r>
              <w:rPr>
                <w:rFonts w:cs="Calibri" w:ascii="Calibri" w:hAnsi="Calibri"/>
                <w:spacing w:val="21"/>
                <w:w w:val="115"/>
                <w:sz w:val="13"/>
                <w:szCs w:val="13"/>
              </w:rPr>
              <w:t xml:space="preserve"> </w:t>
            </w:r>
            <w:r>
              <w:rPr>
                <w:rFonts w:cs="Calibri" w:ascii="Calibri" w:hAnsi="Calibri"/>
                <w:w w:val="115"/>
                <w:sz w:val="13"/>
                <w:szCs w:val="13"/>
              </w:rPr>
              <w:t>di</w:t>
            </w:r>
            <w:r>
              <w:rPr>
                <w:rFonts w:cs="Calibri" w:ascii="Calibri" w:hAnsi="Calibri"/>
                <w:spacing w:val="17"/>
                <w:w w:val="115"/>
                <w:sz w:val="13"/>
                <w:szCs w:val="13"/>
              </w:rPr>
              <w:t xml:space="preserve"> </w:t>
            </w:r>
            <w:r>
              <w:rPr>
                <w:rFonts w:cs="Calibri" w:ascii="Calibri" w:hAnsi="Calibri"/>
                <w:w w:val="115"/>
                <w:sz w:val="13"/>
                <w:szCs w:val="13"/>
              </w:rPr>
              <w:t>cassa.</w:t>
            </w:r>
          </w:p>
        </w:tc>
        <w:tc>
          <w:tcPr>
            <w:tcW w:w="1134" w:type="dxa"/>
            <w:tcBorders/>
            <w:vAlign w:val="center"/>
          </w:tcPr>
          <w:p>
            <w:pPr>
              <w:pStyle w:val="Intestazione"/>
              <w:jc w:val="center"/>
              <w:rPr/>
            </w:pPr>
            <w:r>
              <w:rPr/>
              <w:t>Tempestivo</w:t>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Opere pubbliche</w:t>
            </w:r>
          </w:p>
        </w:tc>
        <w:tc>
          <w:tcPr>
            <w:tcW w:w="1701" w:type="dxa"/>
            <w:tcBorders/>
            <w:vAlign w:val="center"/>
          </w:tcPr>
          <w:p>
            <w:pPr>
              <w:pStyle w:val="Normal"/>
              <w:jc w:val="center"/>
              <w:rPr>
                <w:b/>
                <w:b/>
              </w:rPr>
            </w:pPr>
            <w:r>
              <w:rPr>
                <w:b/>
              </w:rPr>
              <w:t>Nuclei di valutazione e  verifica degli investimenti pubblici</w:t>
            </w:r>
          </w:p>
        </w:tc>
        <w:tc>
          <w:tcPr>
            <w:tcW w:w="1134" w:type="dxa"/>
            <w:tcBorders/>
            <w:vAlign w:val="center"/>
          </w:tcPr>
          <w:p>
            <w:pPr>
              <w:pStyle w:val="Normal"/>
              <w:jc w:val="center"/>
              <w:rPr/>
            </w:pPr>
            <w:r>
              <w:rPr/>
              <w:t>Art. 38, c. 1, d.lgs. n. 33/2013</w:t>
            </w:r>
          </w:p>
        </w:tc>
        <w:tc>
          <w:tcPr>
            <w:tcW w:w="2268" w:type="dxa"/>
            <w:tcBorders/>
            <w:vAlign w:val="center"/>
          </w:tcPr>
          <w:p>
            <w:pPr>
              <w:pStyle w:val="Normal"/>
              <w:jc w:val="center"/>
              <w:rPr/>
            </w:pPr>
            <w:r>
              <w:rPr/>
              <w:t>Informazioni relative ai nuclei di valutazione e  verifica degli investimenti pubblici (art. 1, l. n. 144/1999)</w:t>
            </w:r>
          </w:p>
        </w:tc>
        <w:tc>
          <w:tcPr>
            <w:tcW w:w="5670" w:type="dxa"/>
            <w:tcBorders/>
            <w:vAlign w:val="center"/>
          </w:tcPr>
          <w:p>
            <w:pPr>
              <w:pStyle w:val="Normal"/>
              <w:jc w:val="center"/>
              <w:rPr/>
            </w:pPr>
            <w:r>
              <w:rPr/>
              <w:t>Informazioni relative ai nuclei di valutazione e verifica degli investimenti pubblici, incluse le funzioni e i compiti specifici ad essi attribuiti, le procedure e i criteri di individuazione dei componenti e i loro nominativi (obbligo previsto per le amministrazioni centrali e regionali)</w:t>
            </w:r>
          </w:p>
        </w:tc>
        <w:tc>
          <w:tcPr>
            <w:tcW w:w="1134" w:type="dxa"/>
            <w:tcBorders/>
            <w:vAlign w:val="center"/>
          </w:tcPr>
          <w:p>
            <w:pPr>
              <w:pStyle w:val="Normal"/>
              <w:jc w:val="center"/>
              <w:rPr/>
            </w:pPr>
            <w:r>
              <w:rPr/>
              <w:t>Tempestivo</w:t>
            </w:r>
          </w:p>
          <w:p>
            <w:pPr>
              <w:pStyle w:val="Normal"/>
              <w:jc w:val="center"/>
              <w:rPr/>
            </w:pPr>
            <w:r>
              <w:rPr/>
              <w:t>ex art. 8,</w:t>
            </w:r>
          </w:p>
          <w:p>
            <w:pPr>
              <w:pStyle w:val="Normal"/>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Normal"/>
              <w:jc w:val="center"/>
              <w:rPr>
                <w:b/>
                <w:b/>
              </w:rPr>
            </w:pPr>
            <w:r>
              <w:rPr>
                <w:b/>
              </w:rPr>
              <w:t>Atti di programmazione delle opere pubbliche</w:t>
            </w:r>
          </w:p>
        </w:tc>
        <w:tc>
          <w:tcPr>
            <w:tcW w:w="1134" w:type="dxa"/>
            <w:tcBorders/>
            <w:vAlign w:val="center"/>
          </w:tcPr>
          <w:p>
            <w:pPr>
              <w:pStyle w:val="Normal"/>
              <w:jc w:val="center"/>
              <w:rPr>
                <w:lang w:val="en-GB"/>
              </w:rPr>
            </w:pPr>
            <w:r>
              <w:rPr>
                <w:lang w:val="en-GB"/>
              </w:rPr>
              <w:t>Art. 38, c. 2 e 2 bis</w:t>
            </w:r>
          </w:p>
          <w:p>
            <w:pPr>
              <w:pStyle w:val="Intestazione"/>
              <w:jc w:val="center"/>
              <w:rPr>
                <w:lang w:val="en-GB"/>
              </w:rPr>
            </w:pPr>
            <w:r>
              <w:rPr>
                <w:lang w:val="en-GB"/>
              </w:rPr>
              <w:t>d.lgs. n. 33/2013; art. 21, co.7</w:t>
            </w:r>
          </w:p>
          <w:p>
            <w:pPr>
              <w:pStyle w:val="Normal"/>
              <w:jc w:val="center"/>
              <w:rPr>
                <w:lang w:val="en-GB"/>
              </w:rPr>
            </w:pPr>
            <w:r>
              <w:rPr>
                <w:lang w:val="en-GB"/>
              </w:rPr>
              <w:t>d.lgs. n. 50/2016 art. 29 .lgs.50/2016</w:t>
            </w:r>
          </w:p>
        </w:tc>
        <w:tc>
          <w:tcPr>
            <w:tcW w:w="2268" w:type="dxa"/>
            <w:tcBorders/>
            <w:vAlign w:val="center"/>
          </w:tcPr>
          <w:p>
            <w:pPr>
              <w:pStyle w:val="Normal"/>
              <w:jc w:val="center"/>
              <w:rPr/>
            </w:pPr>
            <w:r>
              <w:rPr/>
              <w:t>Atti di programmazione</w:t>
            </w:r>
          </w:p>
          <w:p>
            <w:pPr>
              <w:pStyle w:val="Normal"/>
              <w:jc w:val="center"/>
              <w:rPr/>
            </w:pPr>
            <w:r>
              <w:rPr/>
              <w:t>delle opere pubbliche</w:t>
            </w:r>
          </w:p>
        </w:tc>
        <w:tc>
          <w:tcPr>
            <w:tcW w:w="5670" w:type="dxa"/>
            <w:tcBorders/>
            <w:vAlign w:val="center"/>
          </w:tcPr>
          <w:p>
            <w:pPr>
              <w:pStyle w:val="Normal"/>
              <w:jc w:val="center"/>
              <w:rPr/>
            </w:pPr>
            <w:r>
              <w:rPr/>
              <w:t>Atti di programmazione delle opere pubbliche (link alla sotto-sezione "bandi di gara e contratti"). A titolo esemplificativo: - Programma triennale dei lavori pubblici, nonchè i relativi aggiornamenti annuali,  ai sensi art. 21 d.lgs. n 50/2016 - Documento pluriennale di pianificazione ai sensi dell’art. 2 del d.lgs. n. 228/2011, (per i Ministeri)</w:t>
            </w:r>
          </w:p>
        </w:tc>
        <w:tc>
          <w:tcPr>
            <w:tcW w:w="1134" w:type="dxa"/>
            <w:tcBorders/>
            <w:vAlign w:val="center"/>
          </w:tcPr>
          <w:p>
            <w:pPr>
              <w:pStyle w:val="Normal"/>
              <w:jc w:val="center"/>
              <w:rPr/>
            </w:pPr>
            <w:r>
              <w:rPr/>
              <w:t>Tempestivo</w:t>
            </w:r>
          </w:p>
          <w:p>
            <w:pPr>
              <w:pStyle w:val="Normal"/>
              <w:jc w:val="center"/>
              <w:rPr/>
            </w:pPr>
            <w:r>
              <w:rPr/>
              <w:t>art.8, c. 1,</w:t>
            </w:r>
          </w:p>
          <w:p>
            <w:pPr>
              <w:pStyle w:val="Normal"/>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jc w:val="center"/>
              <w:rPr>
                <w:b/>
                <w:b/>
              </w:rPr>
            </w:pPr>
            <w:r>
              <w:rPr>
                <w:b/>
              </w:rPr>
              <w:t>Tempi costi e indicatori di realizzazione delle opere pubbliche</w:t>
            </w:r>
          </w:p>
        </w:tc>
        <w:tc>
          <w:tcPr>
            <w:tcW w:w="1134" w:type="dxa"/>
            <w:tcBorders/>
            <w:vAlign w:val="center"/>
          </w:tcPr>
          <w:p>
            <w:pPr>
              <w:pStyle w:val="Intestazione"/>
              <w:jc w:val="center"/>
              <w:rPr/>
            </w:pPr>
            <w:r>
              <w:rPr/>
              <w:t>art. 38, c. 2</w:t>
            </w:r>
          </w:p>
          <w:p>
            <w:pPr>
              <w:pStyle w:val="Intestazione"/>
              <w:jc w:val="center"/>
              <w:rPr>
                <w:lang w:val="en-GB"/>
              </w:rPr>
            </w:pPr>
            <w:r>
              <w:rPr>
                <w:lang w:val="en-GB"/>
              </w:rPr>
              <w:t>d.lgs. n. 33/2013</w:t>
            </w:r>
          </w:p>
          <w:p>
            <w:pPr>
              <w:pStyle w:val="Intestazione"/>
              <w:jc w:val="center"/>
              <w:rPr/>
            </w:pPr>
            <w:r>
              <w:rPr/>
            </w:r>
          </w:p>
        </w:tc>
        <w:tc>
          <w:tcPr>
            <w:tcW w:w="2268" w:type="dxa"/>
            <w:vMerge w:val="restart"/>
            <w:tcBorders/>
            <w:vAlign w:val="center"/>
          </w:tcPr>
          <w:p>
            <w:pPr>
              <w:pStyle w:val="Intestazione"/>
              <w:jc w:val="center"/>
              <w:rPr/>
            </w:pPr>
            <w:r>
              <w:rPr/>
              <w:t>Tempi, costi unitari e indicatori di realizzazione delle opere pubbliche in corso o completate.</w:t>
            </w:r>
          </w:p>
          <w:p>
            <w:pPr>
              <w:pStyle w:val="Intestazione"/>
              <w:jc w:val="center"/>
              <w:rPr/>
            </w:pPr>
            <w:r>
              <w:rPr/>
              <w:t>(da pubblicare in tabelle, sulla base dello schema tipo redatto dal Ministero dell'economia e della finanza d'intesa con l'Autorità nazionale anticorruzione )</w:t>
            </w:r>
          </w:p>
        </w:tc>
        <w:tc>
          <w:tcPr>
            <w:tcW w:w="5670" w:type="dxa"/>
            <w:tcBorders/>
            <w:vAlign w:val="center"/>
          </w:tcPr>
          <w:p>
            <w:pPr>
              <w:pStyle w:val="Intestazione"/>
              <w:jc w:val="center"/>
              <w:rPr/>
            </w:pPr>
            <w:r>
              <w:rPr/>
              <w:t>Informazioni relative ai tempi e agli indicatori di realizzazione delle opere pubbliche in corso o completate</w:t>
            </w:r>
          </w:p>
        </w:tc>
        <w:tc>
          <w:tcPr>
            <w:tcW w:w="1134" w:type="dxa"/>
            <w:tcBorders/>
            <w:vAlign w:val="center"/>
          </w:tcPr>
          <w:p>
            <w:pPr>
              <w:pStyle w:val="Intestazione"/>
              <w:jc w:val="center"/>
              <w:rPr/>
            </w:pPr>
            <w:r>
              <w:rPr/>
              <w:t>Tempestivo</w:t>
            </w:r>
          </w:p>
          <w:p>
            <w:pPr>
              <w:pStyle w:val="Intestazione"/>
              <w:jc w:val="center"/>
              <w:rPr/>
            </w:pPr>
            <w:r>
              <w:rPr/>
              <w:t>art.38, c. 1,</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38, c.2</w:t>
            </w:r>
          </w:p>
          <w:p>
            <w:pPr>
              <w:pStyle w:val="Intestazione"/>
              <w:jc w:val="center"/>
              <w:rPr>
                <w:lang w:val="en-GB"/>
              </w:rPr>
            </w:pPr>
            <w:r>
              <w:rPr>
                <w:lang w:val="en-GB"/>
              </w:rPr>
              <w:t>d.lgs. n. 33/2013</w:t>
            </w:r>
          </w:p>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center"/>
              <w:rPr/>
            </w:pPr>
            <w:r>
              <w:rPr/>
              <w:t>Informazioni relative ai costi unitari di realizzazione delle opere pubbliche in corso o completate</w:t>
            </w:r>
          </w:p>
        </w:tc>
        <w:tc>
          <w:tcPr>
            <w:tcW w:w="1134" w:type="dxa"/>
            <w:tcBorders/>
            <w:vAlign w:val="center"/>
          </w:tcPr>
          <w:p>
            <w:pPr>
              <w:pStyle w:val="Intestazione"/>
              <w:jc w:val="center"/>
              <w:rPr/>
            </w:pPr>
            <w:r>
              <w:rPr/>
              <w:t>Tempestivo</w:t>
            </w:r>
          </w:p>
          <w:p>
            <w:pPr>
              <w:pStyle w:val="Intestazione"/>
              <w:jc w:val="center"/>
              <w:rPr/>
            </w:pPr>
            <w:r>
              <w:rPr/>
              <w:t>art.38, c. 1,</w:t>
            </w:r>
          </w:p>
          <w:p>
            <w:pPr>
              <w:pStyle w:val="Intestazione"/>
              <w:jc w:val="center"/>
              <w:rPr/>
            </w:pPr>
            <w:r>
              <w:rPr/>
              <w:t xml:space="preserve"> </w:t>
            </w: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Pianificazione e</w:t>
            </w:r>
          </w:p>
          <w:p>
            <w:pPr>
              <w:pStyle w:val="Intestazione"/>
              <w:jc w:val="center"/>
              <w:rPr>
                <w:b/>
                <w:b/>
              </w:rPr>
            </w:pPr>
            <w:r>
              <w:rPr>
                <w:rFonts w:ascii="Berlin Sans FB Demi" w:hAnsi="Berlin Sans FB Demi"/>
                <w:b/>
              </w:rPr>
              <w:t>governo del territorio</w:t>
            </w:r>
          </w:p>
        </w:tc>
        <w:tc>
          <w:tcPr>
            <w:tcW w:w="1701" w:type="dxa"/>
            <w:vMerge w:val="restart"/>
            <w:tcBorders/>
            <w:vAlign w:val="center"/>
          </w:tcPr>
          <w:p>
            <w:pPr>
              <w:pStyle w:val="Intestazione"/>
              <w:jc w:val="center"/>
              <w:rPr>
                <w:b/>
                <w:b/>
              </w:rPr>
            </w:pPr>
            <w:r>
              <w:rPr>
                <w:b/>
              </w:rPr>
            </w:r>
          </w:p>
        </w:tc>
        <w:tc>
          <w:tcPr>
            <w:tcW w:w="1134" w:type="dxa"/>
            <w:tcBorders/>
            <w:vAlign w:val="center"/>
          </w:tcPr>
          <w:p>
            <w:pPr>
              <w:pStyle w:val="Intestazione"/>
              <w:jc w:val="center"/>
              <w:rPr/>
            </w:pPr>
            <w:r>
              <w:rPr/>
              <w:t>art. 39, c. 1, lett. a)</w:t>
            </w:r>
          </w:p>
        </w:tc>
        <w:tc>
          <w:tcPr>
            <w:tcW w:w="2268" w:type="dxa"/>
            <w:vMerge w:val="restart"/>
            <w:tcBorders/>
            <w:vAlign w:val="center"/>
          </w:tcPr>
          <w:p>
            <w:pPr>
              <w:pStyle w:val="Intestazione"/>
              <w:jc w:val="center"/>
              <w:rPr/>
            </w:pPr>
            <w:r>
              <w:rPr/>
              <w:t>Pianificazione e governo del territorio</w:t>
            </w:r>
          </w:p>
          <w:p>
            <w:pPr>
              <w:pStyle w:val="Intestazione"/>
              <w:jc w:val="center"/>
              <w:rPr/>
            </w:pPr>
            <w:r>
              <w:rPr/>
              <w:t>(da pubblicare in tabelle)</w:t>
            </w:r>
          </w:p>
        </w:tc>
        <w:tc>
          <w:tcPr>
            <w:tcW w:w="5670" w:type="dxa"/>
            <w:tcBorders/>
            <w:vAlign w:val="center"/>
          </w:tcPr>
          <w:p>
            <w:pPr>
              <w:pStyle w:val="Intestazione"/>
              <w:jc w:val="both"/>
              <w:rPr/>
            </w:pPr>
            <w:r>
              <w:rPr/>
              <w:t>Atti di governo del territorio quali, tra gli altri, piani territoriali, piani di coordinamento, piani paesistici, strumenti urbanistici, generali e di attuazione, nonché le loro varianti</w:t>
            </w:r>
          </w:p>
        </w:tc>
        <w:tc>
          <w:tcPr>
            <w:tcW w:w="1134" w:type="dxa"/>
            <w:tcBorders/>
            <w:vAlign w:val="center"/>
          </w:tcPr>
          <w:p>
            <w:pPr>
              <w:pStyle w:val="Intestazione"/>
              <w:jc w:val="center"/>
              <w:rPr/>
            </w:pPr>
            <w:r>
              <w:rPr/>
              <w:t>Tempestivo</w:t>
            </w:r>
          </w:p>
          <w:p>
            <w:pPr>
              <w:pStyle w:val="Intestazione"/>
              <w:jc w:val="center"/>
              <w:rPr/>
            </w:pPr>
            <w:r>
              <w:rPr/>
              <w:t>art.39,c. 1</w:t>
            </w:r>
          </w:p>
          <w:p>
            <w:pPr>
              <w:pStyle w:val="Intestazione"/>
              <w:jc w:val="center"/>
              <w:rPr/>
            </w:pPr>
            <w:r>
              <w:rPr/>
              <w:t xml:space="preserve"> </w:t>
            </w: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t>art. 39, c. 2</w:t>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Documentazione relativa a ciascun procedimento di presentazione e approvazione delle proposte di trasformazione urbanistica di iniziativa privata o pubblica in variante allo strumento urbanistico generale comunque denominato vigente nonché delle proposte di trasformazione urbanistica di iniziativa privata o pubblica in attuazione dello strumento urbanistico generale vigente che comportino premialità edificatorie a fronte dell'impegno dei privati alla realizzazione di opere di urbanizzazione extra oneri o della cessione di aree o volumetrie per finalità di pubblico interesse</w:t>
            </w:r>
          </w:p>
        </w:tc>
        <w:tc>
          <w:tcPr>
            <w:tcW w:w="1134" w:type="dxa"/>
            <w:tcBorders/>
            <w:vAlign w:val="center"/>
          </w:tcPr>
          <w:p>
            <w:pPr>
              <w:pStyle w:val="Intestazione"/>
              <w:jc w:val="center"/>
              <w:rPr/>
            </w:pPr>
            <w:r>
              <w:rPr/>
              <w:t>Tempestivo</w:t>
            </w:r>
          </w:p>
          <w:p>
            <w:pPr>
              <w:pStyle w:val="Intestazione"/>
              <w:jc w:val="center"/>
              <w:rPr/>
            </w:pPr>
            <w:r>
              <w:rPr/>
              <w:t>art.8,</w:t>
            </w:r>
          </w:p>
          <w:p>
            <w:pPr>
              <w:pStyle w:val="Intestazione"/>
              <w:jc w:val="center"/>
              <w:rPr/>
            </w:pPr>
            <w:r>
              <w:rPr/>
              <w:t xml:space="preserve"> </w:t>
            </w: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Informazioni ambientali</w:t>
            </w:r>
          </w:p>
        </w:tc>
        <w:tc>
          <w:tcPr>
            <w:tcW w:w="1701" w:type="dxa"/>
            <w:vMerge w:val="restart"/>
            <w:tcBorders/>
            <w:vAlign w:val="center"/>
          </w:tcPr>
          <w:p>
            <w:pPr>
              <w:pStyle w:val="Intestazione"/>
              <w:jc w:val="center"/>
              <w:rPr>
                <w:b/>
                <w:b/>
              </w:rPr>
            </w:pPr>
            <w:r>
              <w:rPr>
                <w:b/>
              </w:rPr>
            </w:r>
          </w:p>
        </w:tc>
        <w:tc>
          <w:tcPr>
            <w:tcW w:w="1134" w:type="dxa"/>
            <w:vMerge w:val="restart"/>
            <w:tcBorders/>
            <w:vAlign w:val="center"/>
          </w:tcPr>
          <w:p>
            <w:pPr>
              <w:pStyle w:val="Intestazione"/>
              <w:jc w:val="center"/>
              <w:rPr/>
            </w:pPr>
            <w:r>
              <w:rPr/>
              <w:t>art. 40, c. 2</w:t>
            </w:r>
          </w:p>
        </w:tc>
        <w:tc>
          <w:tcPr>
            <w:tcW w:w="2268" w:type="dxa"/>
            <w:tcBorders/>
            <w:vAlign w:val="center"/>
          </w:tcPr>
          <w:p>
            <w:pPr>
              <w:pStyle w:val="Intestazione"/>
              <w:jc w:val="center"/>
              <w:rPr/>
            </w:pPr>
            <w:r>
              <w:rPr/>
              <w:t>Informazioni ambientali</w:t>
            </w:r>
          </w:p>
        </w:tc>
        <w:tc>
          <w:tcPr>
            <w:tcW w:w="5670" w:type="dxa"/>
            <w:tcBorders/>
            <w:vAlign w:val="center"/>
          </w:tcPr>
          <w:p>
            <w:pPr>
              <w:pStyle w:val="Intestazione"/>
              <w:jc w:val="both"/>
              <w:rPr/>
            </w:pPr>
            <w:r>
              <w:rPr/>
              <w:t>Informazioni ambientali che le amministrazioni detengono ai fini delle proprie attività istituzionali :</w:t>
            </w:r>
          </w:p>
        </w:tc>
        <w:tc>
          <w:tcPr>
            <w:tcW w:w="1134" w:type="dxa"/>
            <w:vMerge w:val="restart"/>
            <w:tcBorders/>
            <w:vAlign w:val="center"/>
          </w:tcPr>
          <w:p>
            <w:pPr>
              <w:pStyle w:val="Intestazione"/>
              <w:jc w:val="center"/>
              <w:rPr/>
            </w:pPr>
            <w:r>
              <w:rPr/>
              <w:t>Tempestivo</w:t>
            </w:r>
          </w:p>
          <w:p>
            <w:pPr>
              <w:pStyle w:val="Intestazione"/>
              <w:jc w:val="center"/>
              <w:rPr/>
            </w:pPr>
            <w:r>
              <w:rPr/>
              <w:t>ex art. 8,</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Stato dell'ambiente</w:t>
            </w:r>
          </w:p>
        </w:tc>
        <w:tc>
          <w:tcPr>
            <w:tcW w:w="5670" w:type="dxa"/>
            <w:tcBorders/>
            <w:vAlign w:val="center"/>
          </w:tcPr>
          <w:p>
            <w:pPr>
              <w:pStyle w:val="Intestazione"/>
              <w:jc w:val="both"/>
              <w:rPr/>
            </w:pPr>
            <w:r>
              <w:rPr/>
              <w:t>1) Stato degli elementi dell'ambiente, quali l'aria, l'atmosfera, l'acqua, il suolo, il territorio, i siti naturali, compresi gli igrotopi, le zone costiere e marine, la diversità biologica ed i suoi elementi costitutivi, compresi gli organismi geneticamente modificati, e, inoltre, le interazioni tra questi elementi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Fattori inquinanti</w:t>
            </w:r>
          </w:p>
        </w:tc>
        <w:tc>
          <w:tcPr>
            <w:tcW w:w="5670" w:type="dxa"/>
            <w:tcBorders/>
            <w:vAlign w:val="center"/>
          </w:tcPr>
          <w:p>
            <w:pPr>
              <w:pStyle w:val="Intestazione"/>
              <w:jc w:val="both"/>
              <w:rPr/>
            </w:pPr>
            <w:r>
              <w:rPr/>
              <w:t>2) Fattori quali le sostanze, l'energia, il rumore, le radiazioni od i rifiuti, anche quelli radioattivi, le emissioni, gli scarichi ed altri rilasci nell'ambiente, che incidono o possono incidere sugli elementi dell'ambiente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Misure incidenti sull'ambiente e</w:t>
            </w:r>
          </w:p>
          <w:p>
            <w:pPr>
              <w:pStyle w:val="Intestazione"/>
              <w:jc w:val="center"/>
              <w:rPr/>
            </w:pPr>
            <w:r>
              <w:rPr/>
              <w:t>relative analisi di impatto</w:t>
            </w:r>
          </w:p>
        </w:tc>
        <w:tc>
          <w:tcPr>
            <w:tcW w:w="5670" w:type="dxa"/>
            <w:tcBorders/>
            <w:vAlign w:val="center"/>
          </w:tcPr>
          <w:p>
            <w:pPr>
              <w:pStyle w:val="Intestazione"/>
              <w:jc w:val="both"/>
              <w:rPr/>
            </w:pPr>
            <w:r>
              <w:rPr/>
              <w:t>3) Misure, anche amministrative, quali le politiche, le disposizioni legislative, i piani, i programmi, gli accordi ambientali e ogni altro atto, anche di natura amministrativa, nonché le attività che incidono o possono incidere sugli elementi e sui fattori dell'ambiente ed analisi costi-benefìci ed altre analisi ed ipotesi economiche usate nell'àmbito delle stesse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Misure a protezione dell'ambiente e</w:t>
            </w:r>
          </w:p>
          <w:p>
            <w:pPr>
              <w:pStyle w:val="Intestazione"/>
              <w:jc w:val="center"/>
              <w:rPr/>
            </w:pPr>
            <w:r>
              <w:rPr/>
              <w:t>relative analisi di impatto</w:t>
            </w:r>
          </w:p>
        </w:tc>
        <w:tc>
          <w:tcPr>
            <w:tcW w:w="5670" w:type="dxa"/>
            <w:tcBorders/>
            <w:vAlign w:val="center"/>
          </w:tcPr>
          <w:p>
            <w:pPr>
              <w:pStyle w:val="Intestazione"/>
              <w:jc w:val="both"/>
              <w:rPr/>
            </w:pPr>
            <w:r>
              <w:rPr/>
              <w:t>4) Misure o attività finalizzate a proteggere i suddetti elementi ed analisi costi-benefìci ed altre analisi ed ipotesi economiche usate nell'àmbito delle stesse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Relazioni sull'attuazione della legislazione</w:t>
            </w:r>
          </w:p>
        </w:tc>
        <w:tc>
          <w:tcPr>
            <w:tcW w:w="5670" w:type="dxa"/>
            <w:tcBorders/>
            <w:vAlign w:val="center"/>
          </w:tcPr>
          <w:p>
            <w:pPr>
              <w:pStyle w:val="Intestazione"/>
              <w:jc w:val="both"/>
              <w:rPr/>
            </w:pPr>
            <w:r>
              <w:rPr/>
              <w:t>5) Relazioni sull'attuazione della legislazione ambientale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Stato della salute e</w:t>
            </w:r>
          </w:p>
          <w:p>
            <w:pPr>
              <w:pStyle w:val="Intestazione"/>
              <w:jc w:val="center"/>
              <w:rPr/>
            </w:pPr>
            <w:r>
              <w:rPr/>
              <w:t>della sicurezza umana</w:t>
            </w:r>
          </w:p>
        </w:tc>
        <w:tc>
          <w:tcPr>
            <w:tcW w:w="5670" w:type="dxa"/>
            <w:tcBorders/>
            <w:vAlign w:val="center"/>
          </w:tcPr>
          <w:p>
            <w:pPr>
              <w:pStyle w:val="Intestazione"/>
              <w:jc w:val="both"/>
              <w:rPr/>
            </w:pPr>
            <w:r>
              <w:rPr/>
              <w:t>6) Stato della salute e della sicurezza umana, compresa la contaminazione della catena alimentare, le condizioni della vita umana, il paesaggio, i siti e gli edifici d'interesse culturale, per quanto influenzabili dallo stato degli elementi dell'ambiente, attraverso tali elementi, da qualsiasi fattore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tcBorders/>
            <w:vAlign w:val="center"/>
          </w:tcPr>
          <w:p>
            <w:pPr>
              <w:pStyle w:val="Intestazione"/>
              <w:jc w:val="center"/>
              <w:rPr/>
            </w:pPr>
            <w:r>
              <w:rPr/>
              <w:t>Relazione su stato dell'ambiente del Min. Ambiente e della tutela del territorio</w:t>
            </w:r>
          </w:p>
        </w:tc>
        <w:tc>
          <w:tcPr>
            <w:tcW w:w="5670" w:type="dxa"/>
            <w:tcBorders/>
            <w:vAlign w:val="center"/>
          </w:tcPr>
          <w:p>
            <w:pPr>
              <w:pStyle w:val="Intestazione"/>
              <w:jc w:val="both"/>
              <w:rPr/>
            </w:pPr>
            <w:r>
              <w:rPr/>
              <w:t>Relazione sullo stato dell'ambiente redatta dal Ministero dell'Ambiente e della tutela del territorio</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Strutture sanitarie</w:t>
            </w:r>
          </w:p>
          <w:p>
            <w:pPr>
              <w:pStyle w:val="Intestazione"/>
              <w:jc w:val="center"/>
              <w:rPr>
                <w:b/>
                <w:b/>
              </w:rPr>
            </w:pPr>
            <w:r>
              <w:rPr>
                <w:rFonts w:ascii="Berlin Sans FB Demi" w:hAnsi="Berlin Sans FB Demi"/>
                <w:b/>
              </w:rPr>
              <w:t>private accreditate</w:t>
            </w:r>
          </w:p>
        </w:tc>
        <w:tc>
          <w:tcPr>
            <w:tcW w:w="1701" w:type="dxa"/>
            <w:vMerge w:val="restart"/>
            <w:tcBorders/>
            <w:vAlign w:val="center"/>
          </w:tcPr>
          <w:p>
            <w:pPr>
              <w:pStyle w:val="Intestazione"/>
              <w:jc w:val="center"/>
              <w:rPr>
                <w:b/>
                <w:b/>
              </w:rPr>
            </w:pPr>
            <w:r>
              <w:rPr>
                <w:b/>
              </w:rPr>
            </w:r>
          </w:p>
        </w:tc>
        <w:tc>
          <w:tcPr>
            <w:tcW w:w="1134" w:type="dxa"/>
            <w:vMerge w:val="restart"/>
            <w:tcBorders/>
            <w:vAlign w:val="center"/>
          </w:tcPr>
          <w:p>
            <w:pPr>
              <w:pStyle w:val="Intestazione"/>
              <w:jc w:val="center"/>
              <w:rPr/>
            </w:pPr>
            <w:r>
              <w:rPr/>
              <w:t>art. 41, c. 4</w:t>
            </w:r>
          </w:p>
        </w:tc>
        <w:tc>
          <w:tcPr>
            <w:tcW w:w="2268" w:type="dxa"/>
            <w:vMerge w:val="restart"/>
            <w:tcBorders/>
            <w:vAlign w:val="center"/>
          </w:tcPr>
          <w:p>
            <w:pPr>
              <w:pStyle w:val="Intestazione"/>
              <w:jc w:val="center"/>
              <w:rPr/>
            </w:pPr>
            <w:r>
              <w:rPr/>
              <w:t>Strutture sanitarie private accreditate</w:t>
            </w:r>
          </w:p>
          <w:p>
            <w:pPr>
              <w:pStyle w:val="Intestazione"/>
              <w:jc w:val="center"/>
              <w:rPr/>
            </w:pPr>
            <w:r>
              <w:rPr/>
              <w:t>(da pubblicare in tabelle)</w:t>
            </w:r>
          </w:p>
        </w:tc>
        <w:tc>
          <w:tcPr>
            <w:tcW w:w="5670" w:type="dxa"/>
            <w:tcBorders/>
            <w:vAlign w:val="center"/>
          </w:tcPr>
          <w:p>
            <w:pPr>
              <w:pStyle w:val="Intestazione"/>
              <w:jc w:val="both"/>
              <w:rPr/>
            </w:pPr>
            <w:r>
              <w:rPr/>
              <w:t>Elenco delle strutture sanitarie private accreditate</w:t>
            </w:r>
          </w:p>
        </w:tc>
        <w:tc>
          <w:tcPr>
            <w:tcW w:w="1134" w:type="dxa"/>
            <w:vMerge w:val="restart"/>
            <w:tcBorders/>
            <w:vAlign w:val="center"/>
          </w:tcPr>
          <w:p>
            <w:pPr>
              <w:pStyle w:val="Intestazione"/>
              <w:jc w:val="center"/>
              <w:rPr>
                <w:lang w:val="en-GB"/>
              </w:rPr>
            </w:pPr>
            <w:r>
              <w:rPr>
                <w:lang w:val="en-GB"/>
              </w:rPr>
              <w:t>Annuale</w:t>
            </w:r>
          </w:p>
          <w:p>
            <w:pPr>
              <w:pStyle w:val="Intestazione"/>
              <w:jc w:val="center"/>
              <w:rPr>
                <w:lang w:val="en-GB"/>
              </w:rPr>
            </w:pPr>
            <w:r>
              <w:rPr>
                <w:lang w:val="en-GB"/>
              </w:rPr>
              <w:t>art. 41, c. 4, d.lgs. n. 33/2013</w:t>
            </w:r>
          </w:p>
        </w:tc>
        <w:tc>
          <w:tcPr>
            <w:tcW w:w="1305" w:type="dxa"/>
            <w:tcBorders/>
            <w:vAlign w:val="center"/>
          </w:tcPr>
          <w:p>
            <w:pPr>
              <w:pStyle w:val="Intestazione"/>
              <w:jc w:val="center"/>
              <w:rPr>
                <w:lang w:val="en-GB"/>
              </w:rPr>
            </w:pPr>
            <w:r>
              <w:rPr>
                <w:lang w:val="en-GB"/>
              </w:rPr>
            </w:r>
          </w:p>
        </w:tc>
        <w:tc>
          <w:tcPr>
            <w:tcW w:w="1273" w:type="dxa"/>
            <w:tcBorders/>
            <w:vAlign w:val="center"/>
          </w:tcPr>
          <w:p>
            <w:pPr>
              <w:pStyle w:val="Intestazione"/>
              <w:jc w:val="center"/>
              <w:rPr>
                <w:lang w:val="en-GB"/>
              </w:rPr>
            </w:pPr>
            <w:r>
              <w:rPr>
                <w:lang w:val="en-GB"/>
              </w:rPr>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continue"/>
            <w:tcBorders/>
            <w:vAlign w:val="center"/>
          </w:tcPr>
          <w:p>
            <w:pPr>
              <w:pStyle w:val="Intestazione"/>
              <w:jc w:val="center"/>
              <w:rPr>
                <w:b/>
                <w:b/>
                <w:lang w:val="en-GB"/>
              </w:rPr>
            </w:pPr>
            <w:r>
              <w:rPr>
                <w:b/>
                <w:lang w:val="en-GB"/>
              </w:rPr>
            </w:r>
          </w:p>
        </w:tc>
        <w:tc>
          <w:tcPr>
            <w:tcW w:w="1134" w:type="dxa"/>
            <w:vMerge w:val="continue"/>
            <w:tcBorders/>
            <w:vAlign w:val="center"/>
          </w:tcPr>
          <w:p>
            <w:pPr>
              <w:pStyle w:val="Intestazione"/>
              <w:jc w:val="center"/>
              <w:rPr>
                <w:lang w:val="en-GB"/>
              </w:rPr>
            </w:pPr>
            <w:r>
              <w:rPr>
                <w:lang w:val="en-GB"/>
              </w:rPr>
            </w:r>
          </w:p>
        </w:tc>
        <w:tc>
          <w:tcPr>
            <w:tcW w:w="2268" w:type="dxa"/>
            <w:vMerge w:val="continue"/>
            <w:tcBorders/>
            <w:vAlign w:val="center"/>
          </w:tcPr>
          <w:p>
            <w:pPr>
              <w:pStyle w:val="Intestazione"/>
              <w:jc w:val="center"/>
              <w:rPr>
                <w:lang w:val="en-GB"/>
              </w:rPr>
            </w:pPr>
            <w:r>
              <w:rPr>
                <w:lang w:val="en-GB"/>
              </w:rPr>
            </w:r>
          </w:p>
        </w:tc>
        <w:tc>
          <w:tcPr>
            <w:tcW w:w="5670" w:type="dxa"/>
            <w:tcBorders/>
            <w:vAlign w:val="center"/>
          </w:tcPr>
          <w:p>
            <w:pPr>
              <w:pStyle w:val="Intestazione"/>
              <w:jc w:val="both"/>
              <w:rPr/>
            </w:pPr>
            <w:r>
              <w:rPr/>
              <w:t>Accordi intercorsi con le strutture private accreditate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0"/>
        <w:gridCol w:w="1134"/>
        <w:gridCol w:w="1305"/>
        <w:gridCol w:w="1273"/>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Interventi straordinari e</w:t>
            </w:r>
          </w:p>
          <w:p>
            <w:pPr>
              <w:pStyle w:val="Intestazione"/>
              <w:jc w:val="center"/>
              <w:rPr>
                <w:b/>
                <w:b/>
              </w:rPr>
            </w:pPr>
            <w:r>
              <w:rPr>
                <w:rFonts w:ascii="Berlin Sans FB Demi" w:hAnsi="Berlin Sans FB Demi"/>
                <w:b/>
              </w:rPr>
              <w:t>di emergenza</w:t>
            </w:r>
          </w:p>
        </w:tc>
        <w:tc>
          <w:tcPr>
            <w:tcW w:w="1701" w:type="dxa"/>
            <w:vMerge w:val="restart"/>
            <w:tcBorders/>
            <w:vAlign w:val="center"/>
          </w:tcPr>
          <w:p>
            <w:pPr>
              <w:pStyle w:val="Intestazione"/>
              <w:jc w:val="center"/>
              <w:rPr>
                <w:b/>
                <w:b/>
              </w:rPr>
            </w:pPr>
            <w:r>
              <w:rPr>
                <w:b/>
              </w:rPr>
            </w:r>
          </w:p>
        </w:tc>
        <w:tc>
          <w:tcPr>
            <w:tcW w:w="1134" w:type="dxa"/>
            <w:vMerge w:val="restart"/>
            <w:tcBorders/>
            <w:vAlign w:val="center"/>
          </w:tcPr>
          <w:p>
            <w:pPr>
              <w:pStyle w:val="Intestazione"/>
              <w:jc w:val="center"/>
              <w:rPr/>
            </w:pPr>
            <w:r>
              <w:rPr/>
              <w:t>art. 42, c. 1</w:t>
            </w:r>
          </w:p>
        </w:tc>
        <w:tc>
          <w:tcPr>
            <w:tcW w:w="2268" w:type="dxa"/>
            <w:vMerge w:val="restart"/>
            <w:tcBorders/>
            <w:vAlign w:val="center"/>
          </w:tcPr>
          <w:p>
            <w:pPr>
              <w:pStyle w:val="Intestazione"/>
              <w:jc w:val="center"/>
              <w:rPr/>
            </w:pPr>
            <w:r>
              <w:rPr/>
              <w:t>Interventi straordinari e di emergenza</w:t>
            </w:r>
          </w:p>
          <w:p>
            <w:pPr>
              <w:pStyle w:val="Intestazione"/>
              <w:jc w:val="center"/>
              <w:rPr/>
            </w:pPr>
            <w:r>
              <w:rPr/>
              <w:t>(da pubblicare in tabelle</w:t>
            </w:r>
          </w:p>
        </w:tc>
        <w:tc>
          <w:tcPr>
            <w:tcW w:w="5670" w:type="dxa"/>
            <w:tcBorders/>
            <w:vAlign w:val="center"/>
          </w:tcPr>
          <w:p>
            <w:pPr>
              <w:pStyle w:val="Intestazione"/>
              <w:jc w:val="both"/>
              <w:rPr/>
            </w:pPr>
            <w:r>
              <w:rPr/>
              <w:t>Provvedimenti adottati concernenti gli interventi straordinari e di emergenza che comportano deroghe alla legislazione vigente, con l'indicazione espressa delle norme di legge eventualmente derogate e dei motivi della deroga, nonché con l'indicazione di eventuali atti amministrativi o giurisdizionali intervenuti</w:t>
            </w:r>
          </w:p>
        </w:tc>
        <w:tc>
          <w:tcPr>
            <w:tcW w:w="1134" w:type="dxa"/>
            <w:vMerge w:val="restart"/>
            <w:tcBorders/>
            <w:vAlign w:val="center"/>
          </w:tcPr>
          <w:p>
            <w:pPr>
              <w:pStyle w:val="Intestazione"/>
              <w:jc w:val="center"/>
              <w:rPr/>
            </w:pPr>
            <w:r>
              <w:rPr/>
              <w:t>Tempestivo</w:t>
            </w:r>
          </w:p>
          <w:p>
            <w:pPr>
              <w:pStyle w:val="Intestazione"/>
              <w:jc w:val="center"/>
              <w:rPr/>
            </w:pPr>
            <w:r>
              <w:rPr/>
              <w:t>ex art. 8,</w:t>
            </w:r>
          </w:p>
          <w:p>
            <w:pPr>
              <w:pStyle w:val="Intestazione"/>
              <w:jc w:val="center"/>
              <w:rPr/>
            </w:pPr>
            <w:r>
              <w:rPr/>
              <w:t>d.lgs. n. 33/2013</w:t>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Termini temporali eventualmente fissati per l'esercizio dei poteri di adozione dei provvedimenti straordinari</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vMerge w:val="continue"/>
            <w:tcBorders/>
            <w:vAlign w:val="center"/>
          </w:tcPr>
          <w:p>
            <w:pPr>
              <w:pStyle w:val="Intestazione"/>
              <w:jc w:val="center"/>
              <w:rPr/>
            </w:pPr>
            <w:r>
              <w:rPr/>
            </w:r>
          </w:p>
        </w:tc>
        <w:tc>
          <w:tcPr>
            <w:tcW w:w="2268" w:type="dxa"/>
            <w:vMerge w:val="continue"/>
            <w:tcBorders/>
            <w:vAlign w:val="center"/>
          </w:tcPr>
          <w:p>
            <w:pPr>
              <w:pStyle w:val="Intestazione"/>
              <w:jc w:val="center"/>
              <w:rPr/>
            </w:pPr>
            <w:r>
              <w:rPr/>
            </w:r>
          </w:p>
        </w:tc>
        <w:tc>
          <w:tcPr>
            <w:tcW w:w="5670" w:type="dxa"/>
            <w:tcBorders/>
            <w:vAlign w:val="center"/>
          </w:tcPr>
          <w:p>
            <w:pPr>
              <w:pStyle w:val="Intestazione"/>
              <w:jc w:val="both"/>
              <w:rPr/>
            </w:pPr>
            <w:r>
              <w:rPr/>
              <w:t>Costo previsto degli interventi e costo effettivo sostenuto dall'amministrazione</w:t>
            </w:r>
          </w:p>
        </w:tc>
        <w:tc>
          <w:tcPr>
            <w:tcW w:w="1134" w:type="dxa"/>
            <w:vMerge w:val="continue"/>
            <w:tcBorders/>
            <w:vAlign w:val="center"/>
          </w:tcPr>
          <w:p>
            <w:pPr>
              <w:pStyle w:val="Intestazione"/>
              <w:jc w:val="center"/>
              <w:rPr/>
            </w:pPr>
            <w:r>
              <w:rPr/>
            </w:r>
          </w:p>
        </w:tc>
        <w:tc>
          <w:tcPr>
            <w:tcW w:w="1305" w:type="dxa"/>
            <w:tcBorders/>
            <w:vAlign w:val="center"/>
          </w:tcPr>
          <w:p>
            <w:pPr>
              <w:pStyle w:val="Intestazione"/>
              <w:jc w:val="center"/>
              <w:rPr/>
            </w:pPr>
            <w:r>
              <w:rPr/>
            </w:r>
          </w:p>
        </w:tc>
        <w:tc>
          <w:tcPr>
            <w:tcW w:w="1273" w:type="dxa"/>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tcBorders/>
            <w:vAlign w:val="center"/>
          </w:tcPr>
          <w:p>
            <w:pPr>
              <w:pStyle w:val="Intestazione"/>
              <w:jc w:val="center"/>
              <w:rPr>
                <w:b/>
                <w:b/>
              </w:rPr>
            </w:pPr>
            <w:r>
              <w:rPr>
                <w:b/>
              </w:rPr>
              <w:t>Fondi a sostegno emergenza sanitaria per contrasto COVID</w:t>
            </w:r>
          </w:p>
        </w:tc>
        <w:tc>
          <w:tcPr>
            <w:tcW w:w="1134" w:type="dxa"/>
            <w:tcBorders/>
            <w:vAlign w:val="center"/>
          </w:tcPr>
          <w:p>
            <w:pPr>
              <w:pStyle w:val="Intestazione"/>
              <w:jc w:val="center"/>
              <w:rPr/>
            </w:pPr>
            <w:r>
              <w:rPr/>
              <w:t>Art. 12, c. 1-bis</w:t>
            </w:r>
          </w:p>
          <w:p>
            <w:pPr>
              <w:pStyle w:val="Intestazione"/>
              <w:jc w:val="center"/>
              <w:rPr/>
            </w:pPr>
            <w:r>
              <w:rPr/>
              <w:t>d.lgs. 33/2013</w:t>
            </w:r>
          </w:p>
        </w:tc>
        <w:tc>
          <w:tcPr>
            <w:tcW w:w="2268" w:type="dxa"/>
            <w:tcBorders/>
            <w:vAlign w:val="center"/>
          </w:tcPr>
          <w:p>
            <w:pPr>
              <w:pStyle w:val="Intestazione"/>
              <w:jc w:val="center"/>
              <w:rPr/>
            </w:pPr>
            <w:r>
              <w:rPr/>
              <w:t>Rendiconto dei fondi ricevuti dal Comune a sostegno dell’emergenza sanitaria per contrastare il COVID-19</w:t>
            </w:r>
          </w:p>
        </w:tc>
        <w:tc>
          <w:tcPr>
            <w:tcW w:w="5670" w:type="dxa"/>
            <w:tcBorders/>
            <w:vAlign w:val="center"/>
          </w:tcPr>
          <w:p>
            <w:pPr>
              <w:pStyle w:val="Intestazione"/>
              <w:jc w:val="both"/>
              <w:rPr/>
            </w:pPr>
            <w:r>
              <w:rPr/>
              <w:t>Pubblicazione, al termine dello stato di emergenza sanitaria, di un prospetto contenente la rendicontazione separata delle erogazioni liberali ricevute dal Comune a sostegno dell’emergenza epidemiologica, in conformità al modello allegato alla Comunicazione datata 29/07/2020 e alla Comunicazione datata 07/10/2020 del Presidente dell’ANAC. Prospetto da aggiornare trimestralmente per fondi pervenuti successivamente alla cessazione dello stato di emergenza.</w:t>
            </w:r>
          </w:p>
        </w:tc>
        <w:tc>
          <w:tcPr>
            <w:tcW w:w="1134" w:type="dxa"/>
            <w:tcBorders/>
            <w:vAlign w:val="center"/>
          </w:tcPr>
          <w:p>
            <w:pPr>
              <w:pStyle w:val="Intestazione"/>
              <w:jc w:val="center"/>
              <w:rPr/>
            </w:pPr>
            <w:r>
              <w:rPr/>
              <w:t>Prospetto da pubblicare al termine dello stato di emergenza e da aggiornare trimestralmente</w:t>
            </w:r>
          </w:p>
        </w:tc>
        <w:tc>
          <w:tcPr>
            <w:tcW w:w="1305" w:type="dxa"/>
            <w:tcBorders/>
            <w:shd w:color="auto" w:fill="auto" w:val="clear"/>
            <w:vAlign w:val="center"/>
          </w:tcPr>
          <w:p>
            <w:pPr>
              <w:pStyle w:val="Intestazione"/>
              <w:jc w:val="center"/>
              <w:rPr/>
            </w:pPr>
            <w:r>
              <w:rPr/>
            </w:r>
          </w:p>
        </w:tc>
        <w:tc>
          <w:tcPr>
            <w:tcW w:w="1273" w:type="dxa"/>
            <w:tcBorders/>
            <w:shd w:color="auto" w:fill="auto" w:val="clear"/>
            <w:vAlign w:val="center"/>
          </w:tcPr>
          <w:p>
            <w:pPr>
              <w:pStyle w:val="Intestazione"/>
              <w:jc w:val="center"/>
              <w:rPr/>
            </w:pPr>
            <w:r>
              <w:rPr/>
            </w:r>
          </w:p>
        </w:tc>
      </w:tr>
    </w:tbl>
    <w:p>
      <w:pPr>
        <w:pStyle w:val="Normal"/>
        <w:rPr/>
      </w:pPr>
      <w:r>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4"/>
        <w:gridCol w:w="2268"/>
        <w:gridCol w:w="5672"/>
        <w:gridCol w:w="1132"/>
        <w:gridCol w:w="1164"/>
        <w:gridCol w:w="141"/>
        <w:gridCol w:w="1134"/>
        <w:gridCol w:w="139"/>
      </w:tblGrid>
      <w:tr>
        <w:trPr/>
        <w:tc>
          <w:tcPr>
            <w:tcW w:w="1134" w:type="dxa"/>
            <w:vMerge w:val="restart"/>
            <w:tcBorders/>
            <w:vAlign w:val="center"/>
          </w:tcPr>
          <w:p>
            <w:pPr>
              <w:pStyle w:val="Intestazione"/>
              <w:jc w:val="center"/>
              <w:rPr>
                <w:rFonts w:ascii="Berlin Sans FB Demi" w:hAnsi="Berlin Sans FB Demi"/>
                <w:b/>
                <w:b/>
              </w:rPr>
            </w:pPr>
            <w:r>
              <w:rPr>
                <w:rFonts w:ascii="Berlin Sans FB Demi" w:hAnsi="Berlin Sans FB Demi"/>
                <w:b/>
              </w:rPr>
              <w:t>Altri contenuti</w:t>
            </w:r>
          </w:p>
        </w:tc>
        <w:tc>
          <w:tcPr>
            <w:tcW w:w="1701" w:type="dxa"/>
            <w:vMerge w:val="restart"/>
            <w:tcBorders/>
            <w:vAlign w:val="center"/>
          </w:tcPr>
          <w:p>
            <w:pPr>
              <w:pStyle w:val="Intestazione"/>
              <w:jc w:val="center"/>
              <w:rPr>
                <w:b/>
                <w:b/>
              </w:rPr>
            </w:pPr>
            <w:r>
              <w:rPr>
                <w:b/>
              </w:rPr>
              <w:t>Prevenzione della corruzione</w:t>
            </w:r>
          </w:p>
        </w:tc>
        <w:tc>
          <w:tcPr>
            <w:tcW w:w="1134" w:type="dxa"/>
            <w:tcBorders/>
            <w:vAlign w:val="center"/>
          </w:tcPr>
          <w:p>
            <w:pPr>
              <w:pStyle w:val="Normal"/>
              <w:jc w:val="center"/>
              <w:rPr>
                <w:lang w:val="en-GB"/>
              </w:rPr>
            </w:pPr>
            <w:r>
              <w:rPr>
                <w:lang w:val="en-GB"/>
              </w:rPr>
              <w:t>Art. 10, c. 8, lett. a), d.lgs. n. 33/2013</w:t>
            </w:r>
          </w:p>
        </w:tc>
        <w:tc>
          <w:tcPr>
            <w:tcW w:w="2268" w:type="dxa"/>
            <w:tcBorders/>
            <w:vAlign w:val="center"/>
          </w:tcPr>
          <w:p>
            <w:pPr>
              <w:pStyle w:val="Normal"/>
              <w:jc w:val="center"/>
              <w:rPr/>
            </w:pPr>
            <w:r>
              <w:rPr/>
              <w:t>Piano triennale per la prevenzione della corruzione e della trasparenza</w:t>
            </w:r>
          </w:p>
        </w:tc>
        <w:tc>
          <w:tcPr>
            <w:tcW w:w="5672" w:type="dxa"/>
            <w:tcBorders/>
            <w:vAlign w:val="center"/>
          </w:tcPr>
          <w:p>
            <w:pPr>
              <w:pStyle w:val="Normal"/>
              <w:jc w:val="center"/>
              <w:rPr/>
            </w:pPr>
            <w:r>
              <w:rPr/>
              <w:t>Piano triennale per la prevenzione della corruzione e della trasparenza e suoi allegati, le misure integrative di prevenzione della corruzione individuate ai sensi dell’articolo 1,comma 2-bis della legge n. 190 del 2012, (MOG 231)</w:t>
            </w:r>
          </w:p>
        </w:tc>
        <w:tc>
          <w:tcPr>
            <w:tcW w:w="1132" w:type="dxa"/>
            <w:tcBorders/>
            <w:vAlign w:val="center"/>
          </w:tcPr>
          <w:p>
            <w:pPr>
              <w:pStyle w:val="Intestazione"/>
              <w:jc w:val="center"/>
              <w:rPr/>
            </w:pPr>
            <w:r>
              <w:rPr/>
              <w:t>Annuale</w:t>
            </w:r>
          </w:p>
        </w:tc>
        <w:tc>
          <w:tcPr>
            <w:tcW w:w="1305" w:type="dxa"/>
            <w:gridSpan w:val="2"/>
            <w:tcBorders/>
            <w:vAlign w:val="center"/>
          </w:tcPr>
          <w:p>
            <w:pPr>
              <w:pStyle w:val="Intestazione"/>
              <w:jc w:val="center"/>
              <w:rPr/>
            </w:pPr>
            <w:r>
              <w:rPr/>
            </w:r>
          </w:p>
        </w:tc>
        <w:tc>
          <w:tcPr>
            <w:tcW w:w="1273" w:type="dxa"/>
            <w:gridSpan w:val="2"/>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Normal"/>
              <w:jc w:val="center"/>
              <w:rPr>
                <w:lang w:val="en-GB"/>
              </w:rPr>
            </w:pPr>
            <w:r>
              <w:rPr>
                <w:lang w:val="en-GB"/>
              </w:rPr>
              <w:t xml:space="preserve">Art. 1, c. 8, </w:t>
            </w:r>
          </w:p>
          <w:p>
            <w:pPr>
              <w:pStyle w:val="Normal"/>
              <w:jc w:val="center"/>
              <w:rPr>
                <w:lang w:val="en-GB"/>
              </w:rPr>
            </w:pPr>
            <w:r>
              <w:rPr>
                <w:lang w:val="en-GB"/>
              </w:rPr>
              <w:t>legge 190/2012</w:t>
            </w:r>
          </w:p>
          <w:p>
            <w:pPr>
              <w:pStyle w:val="Normal"/>
              <w:jc w:val="center"/>
              <w:rPr>
                <w:lang w:val="en-GB"/>
              </w:rPr>
            </w:pPr>
            <w:r>
              <w:rPr>
                <w:lang w:val="en-GB"/>
              </w:rPr>
              <w:t xml:space="preserve"> </w:t>
            </w:r>
            <w:r>
              <w:rPr>
                <w:lang w:val="en-GB"/>
              </w:rPr>
              <w:t>Art. 43, c. 1</w:t>
            </w:r>
          </w:p>
          <w:p>
            <w:pPr>
              <w:pStyle w:val="Normal"/>
              <w:jc w:val="center"/>
              <w:rPr>
                <w:lang w:val="en-GB"/>
              </w:rPr>
            </w:pPr>
            <w:r>
              <w:rPr>
                <w:lang w:val="en-GB"/>
              </w:rPr>
              <w:t xml:space="preserve"> </w:t>
            </w:r>
            <w:r>
              <w:rPr>
                <w:lang w:val="en-GB"/>
              </w:rPr>
              <w:t>d.lgs. n. 33/2013</w:t>
            </w:r>
          </w:p>
        </w:tc>
        <w:tc>
          <w:tcPr>
            <w:tcW w:w="2268" w:type="dxa"/>
            <w:tcBorders/>
            <w:vAlign w:val="center"/>
          </w:tcPr>
          <w:p>
            <w:pPr>
              <w:pStyle w:val="Normal"/>
              <w:jc w:val="center"/>
              <w:rPr/>
            </w:pPr>
            <w:r>
              <w:rPr/>
              <w:t>Responsabile della prevenzione della corruzione e della trasparenza</w:t>
            </w:r>
          </w:p>
        </w:tc>
        <w:tc>
          <w:tcPr>
            <w:tcW w:w="5672" w:type="dxa"/>
            <w:tcBorders/>
            <w:vAlign w:val="center"/>
          </w:tcPr>
          <w:p>
            <w:pPr>
              <w:pStyle w:val="Normal"/>
              <w:jc w:val="center"/>
              <w:rPr/>
            </w:pPr>
            <w:r>
              <w:rPr/>
              <w:t>Responsabile della prevenzione della corruzione e della trasparenza</w:t>
            </w:r>
          </w:p>
        </w:tc>
        <w:tc>
          <w:tcPr>
            <w:tcW w:w="1132" w:type="dxa"/>
            <w:tcBorders/>
            <w:vAlign w:val="center"/>
          </w:tcPr>
          <w:p>
            <w:pPr>
              <w:pStyle w:val="Intestazione"/>
              <w:jc w:val="center"/>
              <w:rPr/>
            </w:pPr>
            <w:r>
              <w:rPr/>
              <w:t>Tempestivo</w:t>
            </w:r>
          </w:p>
        </w:tc>
        <w:tc>
          <w:tcPr>
            <w:tcW w:w="1305" w:type="dxa"/>
            <w:gridSpan w:val="2"/>
            <w:tcBorders/>
            <w:vAlign w:val="center"/>
          </w:tcPr>
          <w:p>
            <w:pPr>
              <w:pStyle w:val="Intestazione"/>
              <w:jc w:val="center"/>
              <w:rPr/>
            </w:pPr>
            <w:r>
              <w:rPr/>
            </w:r>
          </w:p>
        </w:tc>
        <w:tc>
          <w:tcPr>
            <w:tcW w:w="1273" w:type="dxa"/>
            <w:gridSpan w:val="2"/>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Intestazione"/>
              <w:jc w:val="center"/>
              <w:rPr/>
            </w:pPr>
            <w:r>
              <w:rPr/>
            </w:r>
          </w:p>
        </w:tc>
        <w:tc>
          <w:tcPr>
            <w:tcW w:w="2268" w:type="dxa"/>
            <w:tcBorders/>
            <w:vAlign w:val="center"/>
          </w:tcPr>
          <w:p>
            <w:pPr>
              <w:pStyle w:val="Normal"/>
              <w:jc w:val="center"/>
              <w:rPr/>
            </w:pPr>
            <w:r>
              <w:rPr/>
              <w:t>Regolamenti per la prevenzione e la repressione della corruzione e dell'illegalità</w:t>
            </w:r>
          </w:p>
        </w:tc>
        <w:tc>
          <w:tcPr>
            <w:tcW w:w="5672" w:type="dxa"/>
            <w:tcBorders/>
            <w:vAlign w:val="center"/>
          </w:tcPr>
          <w:p>
            <w:pPr>
              <w:pStyle w:val="Normal"/>
              <w:jc w:val="center"/>
              <w:rPr/>
            </w:pPr>
            <w:r>
              <w:rPr/>
              <w:t>Regolamenti per la prevenzione e la repressione della corruzione e dell'illegalità (laddove adottati</w:t>
            </w:r>
          </w:p>
        </w:tc>
        <w:tc>
          <w:tcPr>
            <w:tcW w:w="1132" w:type="dxa"/>
            <w:tcBorders/>
            <w:vAlign w:val="center"/>
          </w:tcPr>
          <w:p>
            <w:pPr>
              <w:pStyle w:val="Intestazione"/>
              <w:jc w:val="center"/>
              <w:rPr/>
            </w:pPr>
            <w:r>
              <w:rPr/>
              <w:t>Tempestivo</w:t>
            </w:r>
          </w:p>
        </w:tc>
        <w:tc>
          <w:tcPr>
            <w:tcW w:w="1305" w:type="dxa"/>
            <w:gridSpan w:val="2"/>
            <w:tcBorders/>
            <w:vAlign w:val="center"/>
          </w:tcPr>
          <w:p>
            <w:pPr>
              <w:pStyle w:val="Intestazione"/>
              <w:jc w:val="center"/>
              <w:rPr/>
            </w:pPr>
            <w:r>
              <w:rPr/>
            </w:r>
          </w:p>
        </w:tc>
        <w:tc>
          <w:tcPr>
            <w:tcW w:w="1273" w:type="dxa"/>
            <w:gridSpan w:val="2"/>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Normal"/>
              <w:jc w:val="center"/>
              <w:rPr/>
            </w:pPr>
            <w:r>
              <w:rPr/>
              <w:t>Art. 1, c. 14, l. n. 190/2012</w:t>
            </w:r>
          </w:p>
        </w:tc>
        <w:tc>
          <w:tcPr>
            <w:tcW w:w="2268" w:type="dxa"/>
            <w:tcBorders/>
            <w:vAlign w:val="center"/>
          </w:tcPr>
          <w:p>
            <w:pPr>
              <w:pStyle w:val="Normal"/>
              <w:jc w:val="center"/>
              <w:rPr/>
            </w:pPr>
            <w:r>
              <w:rPr/>
              <w:t>Relazione del responsabile della prevenzione della corruzione e della trasparenza</w:t>
            </w:r>
          </w:p>
        </w:tc>
        <w:tc>
          <w:tcPr>
            <w:tcW w:w="5672" w:type="dxa"/>
            <w:tcBorders/>
            <w:vAlign w:val="center"/>
          </w:tcPr>
          <w:p>
            <w:pPr>
              <w:pStyle w:val="Normal"/>
              <w:jc w:val="center"/>
              <w:rPr/>
            </w:pPr>
            <w:r>
              <w:rPr/>
              <w:t>Relazione del responsabile della prevenzione della corruzione recante i risultati dell’attività svolta (entro il 15 dicembre di ogni anno)</w:t>
            </w:r>
          </w:p>
        </w:tc>
        <w:tc>
          <w:tcPr>
            <w:tcW w:w="1132" w:type="dxa"/>
            <w:tcBorders/>
            <w:vAlign w:val="center"/>
          </w:tcPr>
          <w:p>
            <w:pPr>
              <w:pStyle w:val="Intestazione"/>
              <w:jc w:val="center"/>
              <w:rPr/>
            </w:pPr>
            <w:r>
              <w:rPr/>
              <w:t>Annuale (ex art. 1, c. 14, L. n. 190/2012)</w:t>
            </w:r>
          </w:p>
        </w:tc>
        <w:tc>
          <w:tcPr>
            <w:tcW w:w="1305" w:type="dxa"/>
            <w:gridSpan w:val="2"/>
            <w:tcBorders/>
            <w:vAlign w:val="center"/>
          </w:tcPr>
          <w:p>
            <w:pPr>
              <w:pStyle w:val="Intestazione"/>
              <w:jc w:val="center"/>
              <w:rPr/>
            </w:pPr>
            <w:r>
              <w:rPr/>
            </w:r>
          </w:p>
        </w:tc>
        <w:tc>
          <w:tcPr>
            <w:tcW w:w="1273" w:type="dxa"/>
            <w:gridSpan w:val="2"/>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Normal"/>
              <w:jc w:val="center"/>
              <w:rPr/>
            </w:pPr>
            <w:r>
              <w:rPr/>
              <w:t>Art. 1, c. 3, l. n. 190/2012</w:t>
            </w:r>
          </w:p>
        </w:tc>
        <w:tc>
          <w:tcPr>
            <w:tcW w:w="2268" w:type="dxa"/>
            <w:tcBorders/>
            <w:vAlign w:val="center"/>
          </w:tcPr>
          <w:p>
            <w:pPr>
              <w:pStyle w:val="Normal"/>
              <w:jc w:val="center"/>
              <w:rPr/>
            </w:pPr>
            <w:r>
              <w:rPr/>
              <w:t>Provvedimenti adottati dall'A.N.AC. ed atti di adeguamento a tali provvedimenti</w:t>
            </w:r>
          </w:p>
        </w:tc>
        <w:tc>
          <w:tcPr>
            <w:tcW w:w="5672" w:type="dxa"/>
            <w:tcBorders/>
            <w:vAlign w:val="center"/>
          </w:tcPr>
          <w:p>
            <w:pPr>
              <w:pStyle w:val="Normal"/>
              <w:jc w:val="center"/>
              <w:rPr/>
            </w:pPr>
            <w:r>
              <w:rPr/>
              <w:t>Provvedimenti adottati dall'A.N.AC. ed atti di adeguamento a tali provvedimenti in materia di vigilanza e controllo nell'anticorruzione</w:t>
            </w:r>
          </w:p>
        </w:tc>
        <w:tc>
          <w:tcPr>
            <w:tcW w:w="1132" w:type="dxa"/>
            <w:tcBorders/>
            <w:vAlign w:val="center"/>
          </w:tcPr>
          <w:p>
            <w:pPr>
              <w:pStyle w:val="Intestazione"/>
              <w:jc w:val="center"/>
              <w:rPr/>
            </w:pPr>
            <w:r>
              <w:rPr/>
              <w:t>Tempestivo</w:t>
            </w:r>
          </w:p>
        </w:tc>
        <w:tc>
          <w:tcPr>
            <w:tcW w:w="1305" w:type="dxa"/>
            <w:gridSpan w:val="2"/>
            <w:tcBorders/>
            <w:vAlign w:val="center"/>
          </w:tcPr>
          <w:p>
            <w:pPr>
              <w:pStyle w:val="Intestazione"/>
              <w:jc w:val="center"/>
              <w:rPr/>
            </w:pPr>
            <w:r>
              <w:rPr/>
            </w:r>
          </w:p>
        </w:tc>
        <w:tc>
          <w:tcPr>
            <w:tcW w:w="1273" w:type="dxa"/>
            <w:gridSpan w:val="2"/>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continue"/>
            <w:tcBorders/>
            <w:vAlign w:val="center"/>
          </w:tcPr>
          <w:p>
            <w:pPr>
              <w:pStyle w:val="Intestazione"/>
              <w:jc w:val="center"/>
              <w:rPr>
                <w:b/>
                <w:b/>
              </w:rPr>
            </w:pPr>
            <w:r>
              <w:rPr>
                <w:b/>
              </w:rPr>
            </w:r>
          </w:p>
        </w:tc>
        <w:tc>
          <w:tcPr>
            <w:tcW w:w="1134" w:type="dxa"/>
            <w:tcBorders/>
            <w:vAlign w:val="center"/>
          </w:tcPr>
          <w:p>
            <w:pPr>
              <w:pStyle w:val="Normal"/>
              <w:jc w:val="center"/>
              <w:rPr/>
            </w:pPr>
            <w:r>
              <w:rPr/>
              <w:t>Art. 18, c. 5, d.lgs. n. 39/2013</w:t>
            </w:r>
          </w:p>
        </w:tc>
        <w:tc>
          <w:tcPr>
            <w:tcW w:w="2268" w:type="dxa"/>
            <w:tcBorders/>
            <w:vAlign w:val="center"/>
          </w:tcPr>
          <w:p>
            <w:pPr>
              <w:pStyle w:val="Normal"/>
              <w:jc w:val="center"/>
              <w:rPr/>
            </w:pPr>
            <w:r>
              <w:rPr/>
              <w:t>Atti di accertamento delle violazioni</w:t>
            </w:r>
          </w:p>
        </w:tc>
        <w:tc>
          <w:tcPr>
            <w:tcW w:w="5672" w:type="dxa"/>
            <w:tcBorders/>
            <w:vAlign w:val="center"/>
          </w:tcPr>
          <w:p>
            <w:pPr>
              <w:pStyle w:val="Normal"/>
              <w:rPr/>
            </w:pPr>
            <w:r>
              <w:rPr/>
              <w:t>Atti di accertamento delle violazioni delle disposizioni  di cui al d.lgs. n. 39/2013</w:t>
            </w:r>
          </w:p>
        </w:tc>
        <w:tc>
          <w:tcPr>
            <w:tcW w:w="1132" w:type="dxa"/>
            <w:tcBorders/>
            <w:vAlign w:val="center"/>
          </w:tcPr>
          <w:p>
            <w:pPr>
              <w:pStyle w:val="Intestazione"/>
              <w:jc w:val="center"/>
              <w:rPr/>
            </w:pPr>
            <w:r>
              <w:rPr/>
              <w:t>Tempestivo</w:t>
            </w:r>
          </w:p>
        </w:tc>
        <w:tc>
          <w:tcPr>
            <w:tcW w:w="1305" w:type="dxa"/>
            <w:gridSpan w:val="2"/>
            <w:tcBorders/>
            <w:vAlign w:val="center"/>
          </w:tcPr>
          <w:p>
            <w:pPr>
              <w:pStyle w:val="Intestazione"/>
              <w:jc w:val="center"/>
              <w:rPr/>
            </w:pPr>
            <w:r>
              <w:rPr/>
            </w:r>
          </w:p>
        </w:tc>
        <w:tc>
          <w:tcPr>
            <w:tcW w:w="1273" w:type="dxa"/>
            <w:gridSpan w:val="2"/>
            <w:tcBorders/>
            <w:vAlign w:val="center"/>
          </w:tcPr>
          <w:p>
            <w:pPr>
              <w:pStyle w:val="Intestazione"/>
              <w:jc w:val="center"/>
              <w:rPr/>
            </w:pPr>
            <w:r>
              <w:rPr/>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jc w:val="center"/>
              <w:rPr>
                <w:b/>
                <w:b/>
              </w:rPr>
            </w:pPr>
            <w:r>
              <w:rPr>
                <w:b/>
              </w:rPr>
              <w:t>Accesso civico</w:t>
            </w:r>
          </w:p>
        </w:tc>
        <w:tc>
          <w:tcPr>
            <w:tcW w:w="1134" w:type="dxa"/>
            <w:tcBorders/>
            <w:vAlign w:val="center"/>
          </w:tcPr>
          <w:p>
            <w:pPr>
              <w:pStyle w:val="Normal"/>
              <w:jc w:val="center"/>
              <w:rPr>
                <w:lang w:val="en-GB"/>
              </w:rPr>
            </w:pPr>
            <w:r>
              <w:rPr>
                <w:lang w:val="en-GB"/>
              </w:rPr>
              <w:t>Art. 5, c. 1, d.lgs. n. 33/2013 / Art. 2, c. 9-bis, l. 241/90</w:t>
            </w:r>
          </w:p>
        </w:tc>
        <w:tc>
          <w:tcPr>
            <w:tcW w:w="2268" w:type="dxa"/>
            <w:tcBorders/>
            <w:vAlign w:val="center"/>
          </w:tcPr>
          <w:p>
            <w:pPr>
              <w:pStyle w:val="Normal"/>
              <w:jc w:val="center"/>
              <w:rPr/>
            </w:pPr>
            <w:r>
              <w:rPr/>
              <w:t>Accesso civico "semplice"concernente dati, documenti e informazioni soggetti a pubblicazione obbligatoria</w:t>
            </w:r>
          </w:p>
        </w:tc>
        <w:tc>
          <w:tcPr>
            <w:tcW w:w="5672" w:type="dxa"/>
            <w:tcBorders/>
            <w:vAlign w:val="center"/>
          </w:tcPr>
          <w:p>
            <w:pPr>
              <w:pStyle w:val="Normal"/>
              <w:rPr/>
            </w:pPr>
            <w:r>
              <w:rPr/>
              <w:t>Nome del Responsabile della prevenzione della corruzione e della trasparenza cui è presentata la richiesta di accesso civico, nonchè modalità per l'esercizio di tale diritto, con indicazione dei recapiti telefonici e delle caselle di posta elettronica istituzionale e nome del titolare del potere sostitutivo, attivabile nei casi di ritardo o mancata risposta, con indicazione dei recapiti telefonici e delle caselle di posta elettronica istituzionale</w:t>
            </w:r>
          </w:p>
        </w:tc>
        <w:tc>
          <w:tcPr>
            <w:tcW w:w="1132" w:type="dxa"/>
            <w:tcBorders/>
            <w:vAlign w:val="center"/>
          </w:tcPr>
          <w:p>
            <w:pPr>
              <w:pStyle w:val="Intestazione"/>
              <w:jc w:val="center"/>
              <w:rPr/>
            </w:pPr>
            <w:r>
              <w:rPr/>
              <w:t>Tempestivo</w:t>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pPr>
            <w:r>
              <w:rPr/>
            </w:r>
          </w:p>
        </w:tc>
        <w:tc>
          <w:tcPr>
            <w:tcW w:w="1134" w:type="dxa"/>
            <w:tcBorders/>
            <w:vAlign w:val="center"/>
          </w:tcPr>
          <w:p>
            <w:pPr>
              <w:pStyle w:val="Normal"/>
              <w:jc w:val="center"/>
              <w:rPr/>
            </w:pPr>
            <w:r>
              <w:rPr/>
              <w:t>Art. 5, c. 2, d.lgs. n. 33/2013</w:t>
            </w:r>
          </w:p>
        </w:tc>
        <w:tc>
          <w:tcPr>
            <w:tcW w:w="2268" w:type="dxa"/>
            <w:tcBorders/>
            <w:vAlign w:val="center"/>
          </w:tcPr>
          <w:p>
            <w:pPr>
              <w:pStyle w:val="Normal"/>
              <w:jc w:val="center"/>
              <w:rPr/>
            </w:pPr>
            <w:r>
              <w:rPr/>
              <w:t>Accesso civico "generalizzato" concernente dati e documenti ulteriori</w:t>
            </w:r>
          </w:p>
        </w:tc>
        <w:tc>
          <w:tcPr>
            <w:tcW w:w="5672" w:type="dxa"/>
            <w:tcBorders/>
            <w:vAlign w:val="center"/>
          </w:tcPr>
          <w:p>
            <w:pPr>
              <w:pStyle w:val="Normal"/>
              <w:rPr/>
            </w:pPr>
            <w:r>
              <w:rPr/>
              <w:t>Nomi Uffici competenti cui è presentata la richiesta di accesso civico, nonchè modalità per l'esercizio di tale diritto, con indicazione dei recapiti telefonici e delle caselle di posta elettronica istituzionale</w:t>
            </w:r>
          </w:p>
        </w:tc>
        <w:tc>
          <w:tcPr>
            <w:tcW w:w="1132" w:type="dxa"/>
            <w:tcBorders/>
            <w:vAlign w:val="center"/>
          </w:tcPr>
          <w:p>
            <w:pPr>
              <w:pStyle w:val="Intestazione"/>
              <w:jc w:val="center"/>
              <w:rPr/>
            </w:pPr>
            <w:r>
              <w:rPr/>
              <w:t>Tempestivo</w:t>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pPr>
            <w:r>
              <w:rPr/>
            </w:r>
          </w:p>
        </w:tc>
        <w:tc>
          <w:tcPr>
            <w:tcW w:w="1134" w:type="dxa"/>
            <w:tcBorders/>
            <w:vAlign w:val="center"/>
          </w:tcPr>
          <w:p>
            <w:pPr>
              <w:pStyle w:val="Normal"/>
              <w:jc w:val="center"/>
              <w:rPr/>
            </w:pPr>
            <w:r>
              <w:rPr/>
              <w:t>Linee guida Anac FOIA (del. 1309/2016)</w:t>
            </w:r>
          </w:p>
        </w:tc>
        <w:tc>
          <w:tcPr>
            <w:tcW w:w="2268" w:type="dxa"/>
            <w:tcBorders/>
            <w:vAlign w:val="center"/>
          </w:tcPr>
          <w:p>
            <w:pPr>
              <w:pStyle w:val="Normal"/>
              <w:jc w:val="center"/>
              <w:rPr/>
            </w:pPr>
            <w:r>
              <w:rPr/>
              <w:t>Registro degli accessi</w:t>
            </w:r>
          </w:p>
        </w:tc>
        <w:tc>
          <w:tcPr>
            <w:tcW w:w="5672" w:type="dxa"/>
            <w:tcBorders/>
            <w:vAlign w:val="center"/>
          </w:tcPr>
          <w:p>
            <w:pPr>
              <w:pStyle w:val="Normal"/>
              <w:rPr/>
            </w:pPr>
            <w:r>
              <w:rPr/>
              <w:t>Elenco delle richieste di accesso (atti, civico e generalizzato) con indicazione dell’oggetto e della data della richiesta nonché del relativo esito con la data della decisione</w:t>
            </w:r>
          </w:p>
        </w:tc>
        <w:tc>
          <w:tcPr>
            <w:tcW w:w="1132" w:type="dxa"/>
            <w:tcBorders/>
            <w:vAlign w:val="center"/>
          </w:tcPr>
          <w:p>
            <w:pPr>
              <w:pStyle w:val="Intestazione"/>
              <w:jc w:val="center"/>
              <w:rPr/>
            </w:pPr>
            <w:r>
              <w:rPr/>
              <w:t>Tempestivo</w:t>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b/>
                <w:b/>
              </w:rPr>
            </w:pPr>
            <w:r>
              <w:rPr>
                <w:b/>
              </w:rPr>
            </w:r>
          </w:p>
        </w:tc>
        <w:tc>
          <w:tcPr>
            <w:tcW w:w="1701" w:type="dxa"/>
            <w:vMerge w:val="restart"/>
            <w:tcBorders/>
            <w:vAlign w:val="center"/>
          </w:tcPr>
          <w:p>
            <w:pPr>
              <w:pStyle w:val="Intestazione"/>
              <w:jc w:val="center"/>
              <w:rPr>
                <w:b/>
                <w:b/>
              </w:rPr>
            </w:pPr>
            <w:r>
              <w:rPr>
                <w:b/>
              </w:rPr>
              <w:t>Accessibilità e Catalogo</w:t>
            </w:r>
          </w:p>
          <w:p>
            <w:pPr>
              <w:pStyle w:val="Intestazione"/>
              <w:jc w:val="center"/>
              <w:rPr>
                <w:b/>
                <w:b/>
              </w:rPr>
            </w:pPr>
            <w:r>
              <w:rPr>
                <w:b/>
              </w:rPr>
              <w:t>dei dati, metadati e</w:t>
            </w:r>
          </w:p>
          <w:p>
            <w:pPr>
              <w:pStyle w:val="Intestazione"/>
              <w:jc w:val="center"/>
              <w:rPr>
                <w:b/>
                <w:b/>
              </w:rPr>
            </w:pPr>
            <w:r>
              <w:rPr>
                <w:b/>
              </w:rPr>
              <w:t>banche dati</w:t>
            </w:r>
          </w:p>
        </w:tc>
        <w:tc>
          <w:tcPr>
            <w:tcW w:w="1134" w:type="dxa"/>
            <w:tcBorders/>
            <w:vAlign w:val="center"/>
          </w:tcPr>
          <w:p>
            <w:pPr>
              <w:pStyle w:val="Normal"/>
              <w:jc w:val="center"/>
              <w:rPr/>
            </w:pPr>
            <w:r>
              <w:rPr/>
              <w:t>Art. 53, c. 1 bis, d.lgs. 82/2005 modificato dall’art. 43 del d.lgs. 179/16</w:t>
            </w:r>
          </w:p>
        </w:tc>
        <w:tc>
          <w:tcPr>
            <w:tcW w:w="2268" w:type="dxa"/>
            <w:tcBorders/>
            <w:vAlign w:val="center"/>
          </w:tcPr>
          <w:p>
            <w:pPr>
              <w:pStyle w:val="Normal"/>
              <w:jc w:val="center"/>
              <w:rPr/>
            </w:pPr>
            <w:r>
              <w:rPr/>
              <w:t>Catalogo dei dati, metadati e delle banche dati</w:t>
            </w:r>
          </w:p>
        </w:tc>
        <w:tc>
          <w:tcPr>
            <w:tcW w:w="5672" w:type="dxa"/>
            <w:tcBorders/>
            <w:vAlign w:val="center"/>
          </w:tcPr>
          <w:p>
            <w:pPr>
              <w:pStyle w:val="Normal"/>
              <w:rPr/>
            </w:pPr>
            <w:r>
              <w:rPr/>
              <w:t>Catalogo dei dati, dei metadati definitivi e delle relative banche dati in possesso delle amministrazioni, da pubblicare anche  tramite link al Repertorio nazionale dei dati territoriali (www.rndt.gov.it), al  catalogo dei dati della PA e delle banche dati  www.dati.gov.it e e  http://basidati.agid.gov.it/catalogo gestiti da AGID</w:t>
            </w:r>
          </w:p>
        </w:tc>
        <w:tc>
          <w:tcPr>
            <w:tcW w:w="1132" w:type="dxa"/>
            <w:tcBorders/>
            <w:vAlign w:val="center"/>
          </w:tcPr>
          <w:p>
            <w:pPr>
              <w:pStyle w:val="Intestazione"/>
              <w:jc w:val="center"/>
              <w:rPr/>
            </w:pPr>
            <w:r>
              <w:rPr/>
              <w:t>Tempestivo</w:t>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pPr>
            <w:r>
              <w:rPr/>
            </w:r>
          </w:p>
        </w:tc>
        <w:tc>
          <w:tcPr>
            <w:tcW w:w="1134" w:type="dxa"/>
            <w:tcBorders/>
            <w:vAlign w:val="center"/>
          </w:tcPr>
          <w:p>
            <w:pPr>
              <w:pStyle w:val="Normal"/>
              <w:jc w:val="center"/>
              <w:rPr>
                <w:lang w:val="en-GB"/>
              </w:rPr>
            </w:pPr>
            <w:r>
              <w:rPr>
                <w:lang w:val="en-GB"/>
              </w:rPr>
              <w:t>Art. 53, c. 1,  bis, d.lgs. 82/2005</w:t>
            </w:r>
          </w:p>
        </w:tc>
        <w:tc>
          <w:tcPr>
            <w:tcW w:w="2268" w:type="dxa"/>
            <w:tcBorders/>
            <w:vAlign w:val="center"/>
          </w:tcPr>
          <w:p>
            <w:pPr>
              <w:pStyle w:val="Normal"/>
              <w:jc w:val="center"/>
              <w:rPr/>
            </w:pPr>
            <w:r>
              <w:rPr/>
              <w:t>Regolamenti</w:t>
            </w:r>
          </w:p>
        </w:tc>
        <w:tc>
          <w:tcPr>
            <w:tcW w:w="5672" w:type="dxa"/>
            <w:tcBorders/>
            <w:vAlign w:val="center"/>
          </w:tcPr>
          <w:p>
            <w:pPr>
              <w:pStyle w:val="Normal"/>
              <w:rPr/>
            </w:pPr>
            <w:r>
              <w:rPr/>
              <w:t>Regolamenti che disciplinano l'esercizio della facoltà di accesso telematico e il riutilizzo dei dati, fatti salvi i dati presenti in Anagrafe tributaria</w:t>
            </w:r>
          </w:p>
        </w:tc>
        <w:tc>
          <w:tcPr>
            <w:tcW w:w="1132" w:type="dxa"/>
            <w:tcBorders/>
            <w:vAlign w:val="center"/>
          </w:tcPr>
          <w:p>
            <w:pPr>
              <w:pStyle w:val="Intestazione"/>
              <w:jc w:val="center"/>
              <w:rPr/>
            </w:pPr>
            <w:r>
              <w:rPr/>
              <w:t>Annuale</w:t>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pPr>
            <w:r>
              <w:rPr/>
            </w:r>
          </w:p>
        </w:tc>
        <w:tc>
          <w:tcPr>
            <w:tcW w:w="1701" w:type="dxa"/>
            <w:vMerge w:val="continue"/>
            <w:tcBorders/>
            <w:vAlign w:val="center"/>
          </w:tcPr>
          <w:p>
            <w:pPr>
              <w:pStyle w:val="Intestazione"/>
              <w:jc w:val="center"/>
              <w:rPr/>
            </w:pPr>
            <w:r>
              <w:rPr/>
            </w:r>
          </w:p>
        </w:tc>
        <w:tc>
          <w:tcPr>
            <w:tcW w:w="1134" w:type="dxa"/>
            <w:tcBorders/>
            <w:vAlign w:val="center"/>
          </w:tcPr>
          <w:p>
            <w:pPr>
              <w:pStyle w:val="Normal"/>
              <w:jc w:val="center"/>
              <w:rPr/>
            </w:pPr>
            <w:r>
              <w:rPr/>
              <w:t>Art. 9, c. 7,</w:t>
            </w:r>
          </w:p>
          <w:p>
            <w:pPr>
              <w:pStyle w:val="Normal"/>
              <w:jc w:val="center"/>
              <w:rPr/>
            </w:pPr>
            <w:r>
              <w:rPr/>
              <w:t>d.l. n. 179/2012 convertito in</w:t>
            </w:r>
          </w:p>
          <w:p>
            <w:pPr>
              <w:pStyle w:val="Normal"/>
              <w:jc w:val="center"/>
              <w:rPr/>
            </w:pPr>
            <w:r>
              <w:rPr/>
              <w:t xml:space="preserve"> </w:t>
            </w:r>
            <w:r>
              <w:rPr/>
              <w:t>L. n. 221/2012</w:t>
            </w:r>
          </w:p>
        </w:tc>
        <w:tc>
          <w:tcPr>
            <w:tcW w:w="2268" w:type="dxa"/>
            <w:tcBorders/>
            <w:vAlign w:val="center"/>
          </w:tcPr>
          <w:p>
            <w:pPr>
              <w:pStyle w:val="Normal"/>
              <w:jc w:val="center"/>
              <w:rPr/>
            </w:pPr>
            <w:r>
              <w:rPr/>
              <w:t>Obiettivi di accessibilità</w:t>
            </w:r>
          </w:p>
          <w:p>
            <w:pPr>
              <w:pStyle w:val="Normal"/>
              <w:jc w:val="center"/>
              <w:rPr/>
            </w:pPr>
            <w:r>
              <w:rPr/>
              <w:t>(da pubblicare secondo le indicazioni contenute nella circolare dell'Agenzia per l'Italia digitale n. 1/2016 e s.m.i.)</w:t>
            </w:r>
          </w:p>
        </w:tc>
        <w:tc>
          <w:tcPr>
            <w:tcW w:w="5672" w:type="dxa"/>
            <w:tcBorders/>
            <w:vAlign w:val="center"/>
          </w:tcPr>
          <w:p>
            <w:pPr>
              <w:pStyle w:val="Normal"/>
              <w:rPr/>
            </w:pPr>
            <w:r>
              <w:rPr/>
              <w:t>Obiettivi di accessibilità dei soggetti disabili agli strumenti informatici per l'anno corrente (entro il 31 marzo di ogni anno) e lo stato di attuazione del "piano per l'utilizzo del telelavoro" nella propria organizzazione</w:t>
            </w:r>
          </w:p>
        </w:tc>
        <w:tc>
          <w:tcPr>
            <w:tcW w:w="1132" w:type="dxa"/>
            <w:tcBorders/>
            <w:vAlign w:val="center"/>
          </w:tcPr>
          <w:p>
            <w:pPr>
              <w:pStyle w:val="Intestazione"/>
              <w:jc w:val="center"/>
              <w:rPr>
                <w:lang w:val="en-GB"/>
              </w:rPr>
            </w:pPr>
            <w:r>
              <w:rPr>
                <w:lang w:val="en-GB"/>
              </w:rPr>
              <w:t>Annuale</w:t>
            </w:r>
          </w:p>
          <w:p>
            <w:pPr>
              <w:pStyle w:val="Intestazione"/>
              <w:jc w:val="center"/>
              <w:rPr>
                <w:lang w:val="en-GB"/>
              </w:rPr>
            </w:pPr>
            <w:r>
              <w:rPr>
                <w:lang w:val="en-GB"/>
              </w:rPr>
              <w:t>ex art. 9, c. 7,</w:t>
            </w:r>
          </w:p>
          <w:p>
            <w:pPr>
              <w:pStyle w:val="Intestazione"/>
              <w:jc w:val="center"/>
              <w:rPr>
                <w:lang w:val="en-GB"/>
              </w:rPr>
            </w:pPr>
            <w:r>
              <w:rPr>
                <w:lang w:val="en-GB"/>
              </w:rPr>
              <w:t>d.l. n. 179/2012</w:t>
            </w:r>
          </w:p>
        </w:tc>
        <w:tc>
          <w:tcPr>
            <w:tcW w:w="1164" w:type="dxa"/>
            <w:tcBorders/>
            <w:vAlign w:val="center"/>
          </w:tcPr>
          <w:p>
            <w:pPr>
              <w:pStyle w:val="Intestazione"/>
              <w:jc w:val="center"/>
              <w:rPr>
                <w:lang w:val="en-GB"/>
              </w:rPr>
            </w:pPr>
            <w:r>
              <w:rPr>
                <w:lang w:val="en-GB"/>
              </w:rPr>
            </w:r>
          </w:p>
        </w:tc>
        <w:tc>
          <w:tcPr>
            <w:tcW w:w="1275" w:type="dxa"/>
            <w:gridSpan w:val="2"/>
            <w:tcBorders/>
            <w:vAlign w:val="center"/>
          </w:tcPr>
          <w:p>
            <w:pPr>
              <w:pStyle w:val="Intestazione"/>
              <w:jc w:val="center"/>
              <w:rPr>
                <w:lang w:val="en-GB"/>
              </w:rPr>
            </w:pPr>
            <w:r>
              <w:rPr>
                <w:lang w:val="en-GB"/>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pPr>
            <w:r>
              <w:rPr/>
            </w:r>
          </w:p>
        </w:tc>
        <w:tc>
          <w:tcPr>
            <w:tcW w:w="1701" w:type="dxa"/>
            <w:tcBorders/>
            <w:vAlign w:val="center"/>
          </w:tcPr>
          <w:p>
            <w:pPr>
              <w:pStyle w:val="Intestazione"/>
              <w:jc w:val="center"/>
              <w:rPr/>
            </w:pPr>
            <w:r>
              <w:rPr/>
            </w:r>
          </w:p>
        </w:tc>
        <w:tc>
          <w:tcPr>
            <w:tcW w:w="1134" w:type="dxa"/>
            <w:tcBorders/>
            <w:vAlign w:val="center"/>
          </w:tcPr>
          <w:p>
            <w:pPr>
              <w:pStyle w:val="Normal"/>
              <w:jc w:val="center"/>
              <w:rPr/>
            </w:pPr>
            <w:r>
              <w:rPr/>
            </w:r>
          </w:p>
        </w:tc>
        <w:tc>
          <w:tcPr>
            <w:tcW w:w="2268" w:type="dxa"/>
            <w:tcBorders/>
            <w:vAlign w:val="center"/>
          </w:tcPr>
          <w:p>
            <w:pPr>
              <w:pStyle w:val="Normal"/>
              <w:jc w:val="center"/>
              <w:rPr/>
            </w:pPr>
            <w:r>
              <w:rPr/>
            </w:r>
          </w:p>
        </w:tc>
        <w:tc>
          <w:tcPr>
            <w:tcW w:w="5672" w:type="dxa"/>
            <w:tcBorders/>
            <w:vAlign w:val="center"/>
          </w:tcPr>
          <w:p>
            <w:pPr>
              <w:pStyle w:val="Normal"/>
              <w:rPr/>
            </w:pPr>
            <w:r>
              <w:rPr/>
            </w:r>
          </w:p>
        </w:tc>
        <w:tc>
          <w:tcPr>
            <w:tcW w:w="1132" w:type="dxa"/>
            <w:tcBorders/>
            <w:vAlign w:val="center"/>
          </w:tcPr>
          <w:p>
            <w:pPr>
              <w:pStyle w:val="Intestazione"/>
              <w:jc w:val="center"/>
              <w:rPr>
                <w:lang w:val="en-GB"/>
              </w:rPr>
            </w:pPr>
            <w:r>
              <w:rPr>
                <w:lang w:val="en-GB"/>
              </w:rPr>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restart"/>
            <w:tcBorders/>
            <w:vAlign w:val="center"/>
          </w:tcPr>
          <w:p>
            <w:pPr>
              <w:pStyle w:val="Intestazione"/>
              <w:jc w:val="center"/>
              <w:rPr>
                <w:b/>
                <w:b/>
                <w:lang w:val="en-GB"/>
              </w:rPr>
            </w:pPr>
            <w:r>
              <w:rPr>
                <w:b/>
                <w:lang w:val="en-GB"/>
              </w:rPr>
              <w:t>Dati ulteriori</w:t>
            </w:r>
          </w:p>
        </w:tc>
        <w:tc>
          <w:tcPr>
            <w:tcW w:w="1134" w:type="dxa"/>
            <w:tcBorders/>
            <w:vAlign w:val="center"/>
          </w:tcPr>
          <w:p>
            <w:pPr>
              <w:pStyle w:val="Normal"/>
              <w:jc w:val="center"/>
              <w:rPr>
                <w:lang w:val="en-GB"/>
              </w:rPr>
            </w:pPr>
            <w:r>
              <w:rPr>
                <w:lang w:val="en-GB"/>
              </w:rPr>
              <w:t>Art. 7-bis, c. 3, d.lgs. n. 33/2013 Art. 1, c. 9, lett. f), l. n. 190/2012</w:t>
            </w:r>
          </w:p>
        </w:tc>
        <w:tc>
          <w:tcPr>
            <w:tcW w:w="2268" w:type="dxa"/>
            <w:tcBorders/>
            <w:vAlign w:val="center"/>
          </w:tcPr>
          <w:p>
            <w:pPr>
              <w:pStyle w:val="Normal"/>
              <w:jc w:val="center"/>
              <w:rPr/>
            </w:pPr>
            <w:r>
              <w:rPr/>
              <w:t>Dati ulteriori</w:t>
            </w:r>
          </w:p>
          <w:p>
            <w:pPr>
              <w:pStyle w:val="Normal"/>
              <w:jc w:val="center"/>
              <w:rPr/>
            </w:pPr>
            <w:r>
              <w:rPr/>
              <w:t>(NB: nel caso di pubblicazione di dati non previsti da norme di legge si deve procedere alla anonimizzazione dei dati personali eventualmente presenti, in virtù di quanto disposto dall'art. 4, c. 3, del d.lgs. n. 33/2013)</w:t>
            </w:r>
          </w:p>
        </w:tc>
        <w:tc>
          <w:tcPr>
            <w:tcW w:w="5672" w:type="dxa"/>
            <w:tcBorders/>
            <w:vAlign w:val="center"/>
          </w:tcPr>
          <w:p>
            <w:pPr>
              <w:pStyle w:val="Normal"/>
              <w:rPr/>
            </w:pPr>
            <w:r>
              <w:rPr/>
              <w:t>Dati, informazioni e documenti ulteriori che le pubbliche amministrazioni non hanno l'obbligo di pubblicare ai sensi della normativa vigente e che non sono riconducibili alle sottosezioni indicate</w:t>
            </w:r>
          </w:p>
        </w:tc>
        <w:tc>
          <w:tcPr>
            <w:tcW w:w="1132" w:type="dxa"/>
            <w:tcBorders/>
            <w:vAlign w:val="center"/>
          </w:tcPr>
          <w:p>
            <w:pPr>
              <w:pStyle w:val="Intestazione"/>
              <w:jc w:val="center"/>
              <w:rPr/>
            </w:pPr>
            <w:r>
              <w:rPr/>
              <w:t>------</w:t>
            </w:r>
          </w:p>
        </w:tc>
        <w:tc>
          <w:tcPr>
            <w:tcW w:w="1164" w:type="dxa"/>
            <w:tcBorders/>
            <w:vAlign w:val="center"/>
          </w:tcPr>
          <w:p>
            <w:pPr>
              <w:pStyle w:val="Intestazione"/>
              <w:jc w:val="center"/>
              <w:rPr/>
            </w:pPr>
            <w:r>
              <w:rPr/>
            </w:r>
          </w:p>
        </w:tc>
        <w:tc>
          <w:tcPr>
            <w:tcW w:w="1275" w:type="dxa"/>
            <w:gridSpan w:val="2"/>
            <w:tcBorders/>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continue"/>
            <w:tcBorders/>
            <w:vAlign w:val="center"/>
          </w:tcPr>
          <w:p>
            <w:pPr>
              <w:pStyle w:val="Intestazione"/>
              <w:jc w:val="center"/>
              <w:rPr>
                <w:b/>
                <w:b/>
                <w:lang w:val="en-GB"/>
              </w:rPr>
            </w:pPr>
            <w:r>
              <w:rPr>
                <w:b/>
                <w:lang w:val="en-GB"/>
              </w:rPr>
            </w:r>
          </w:p>
        </w:tc>
        <w:tc>
          <w:tcPr>
            <w:tcW w:w="1134" w:type="dxa"/>
            <w:tcBorders/>
            <w:vAlign w:val="center"/>
          </w:tcPr>
          <w:p>
            <w:pPr>
              <w:pStyle w:val="Normal"/>
              <w:jc w:val="center"/>
              <w:rPr>
                <w:lang w:val="en-GB"/>
              </w:rPr>
            </w:pPr>
            <w:r>
              <w:rPr>
                <w:lang w:val="en-GB"/>
              </w:rPr>
              <w:t>Delibera ANAC</w:t>
            </w:r>
          </w:p>
          <w:p>
            <w:pPr>
              <w:pStyle w:val="Normal"/>
              <w:jc w:val="center"/>
              <w:rPr>
                <w:lang w:val="en-GB"/>
              </w:rPr>
            </w:pPr>
            <w:r>
              <w:rPr>
                <w:lang w:val="en-GB"/>
              </w:rPr>
              <w:t>n. 329- 21/04/2021</w:t>
            </w:r>
          </w:p>
          <w:p>
            <w:pPr>
              <w:pStyle w:val="Normal"/>
              <w:jc w:val="center"/>
              <w:rPr>
                <w:lang w:val="en-GB"/>
              </w:rPr>
            </w:pPr>
            <w:r>
              <w:rPr>
                <w:lang w:val="en-GB"/>
              </w:rPr>
              <w:t>***</w:t>
            </w:r>
          </w:p>
        </w:tc>
        <w:tc>
          <w:tcPr>
            <w:tcW w:w="2268" w:type="dxa"/>
            <w:tcBorders/>
            <w:vAlign w:val="center"/>
          </w:tcPr>
          <w:p>
            <w:pPr>
              <w:pStyle w:val="Normal"/>
              <w:jc w:val="center"/>
              <w:rPr/>
            </w:pPr>
            <w:r>
              <w:rPr>
                <w:w w:val="115"/>
              </w:rPr>
              <w:t>Pubblicazione del provvedimento di</w:t>
            </w:r>
            <w:r>
              <w:rPr>
                <w:spacing w:val="1"/>
                <w:w w:val="115"/>
              </w:rPr>
              <w:t xml:space="preserve"> </w:t>
            </w:r>
            <w:r>
              <w:rPr>
                <w:w w:val="115"/>
              </w:rPr>
              <w:t>conclusione</w:t>
            </w:r>
            <w:r>
              <w:rPr>
                <w:spacing w:val="1"/>
                <w:w w:val="115"/>
              </w:rPr>
              <w:t xml:space="preserve"> </w:t>
            </w:r>
            <w:r>
              <w:rPr>
                <w:w w:val="115"/>
              </w:rPr>
              <w:t>del</w:t>
            </w:r>
            <w:r>
              <w:rPr>
                <w:spacing w:val="1"/>
                <w:w w:val="115"/>
              </w:rPr>
              <w:t xml:space="preserve"> </w:t>
            </w:r>
            <w:r>
              <w:rPr>
                <w:w w:val="115"/>
              </w:rPr>
              <w:t>procedimento</w:t>
            </w:r>
            <w:r>
              <w:rPr>
                <w:spacing w:val="1"/>
                <w:w w:val="115"/>
              </w:rPr>
              <w:t xml:space="preserve"> </w:t>
            </w:r>
            <w:r>
              <w:rPr>
                <w:w w:val="115"/>
              </w:rPr>
              <w:t>di</w:t>
            </w:r>
            <w:r>
              <w:rPr>
                <w:spacing w:val="1"/>
                <w:w w:val="115"/>
              </w:rPr>
              <w:t xml:space="preserve"> </w:t>
            </w:r>
            <w:r>
              <w:rPr>
                <w:w w:val="115"/>
              </w:rPr>
              <w:t xml:space="preserve">valutazione </w:t>
            </w:r>
            <w:r>
              <w:rPr>
                <w:spacing w:val="1"/>
                <w:w w:val="115"/>
              </w:rPr>
              <w:t xml:space="preserve"> </w:t>
            </w:r>
            <w:r>
              <w:rPr>
                <w:w w:val="115"/>
              </w:rPr>
              <w:t xml:space="preserve">di </w:t>
            </w:r>
            <w:r>
              <w:rPr>
                <w:spacing w:val="1"/>
                <w:w w:val="115"/>
              </w:rPr>
              <w:t xml:space="preserve"> </w:t>
            </w:r>
            <w:r>
              <w:rPr>
                <w:w w:val="115"/>
              </w:rPr>
              <w:t>fattibilità</w:t>
            </w:r>
            <w:r>
              <w:rPr>
                <w:spacing w:val="1"/>
                <w:w w:val="115"/>
              </w:rPr>
              <w:t xml:space="preserve"> </w:t>
            </w:r>
            <w:r>
              <w:rPr>
                <w:w w:val="115"/>
              </w:rPr>
              <w:t>delle</w:t>
            </w:r>
            <w:r>
              <w:rPr>
                <w:spacing w:val="1"/>
                <w:w w:val="115"/>
              </w:rPr>
              <w:t xml:space="preserve"> </w:t>
            </w:r>
            <w:r>
              <w:rPr>
                <w:w w:val="115"/>
              </w:rPr>
              <w:t>proposte</w:t>
            </w:r>
            <w:r>
              <w:rPr>
                <w:spacing w:val="1"/>
                <w:w w:val="115"/>
              </w:rPr>
              <w:t xml:space="preserve"> </w:t>
            </w:r>
            <w:r>
              <w:rPr>
                <w:w w:val="115"/>
              </w:rPr>
              <w:t>di</w:t>
            </w:r>
            <w:r>
              <w:rPr>
                <w:spacing w:val="1"/>
                <w:w w:val="115"/>
              </w:rPr>
              <w:t xml:space="preserve"> </w:t>
            </w:r>
            <w:r>
              <w:rPr>
                <w:i/>
                <w:w w:val="115"/>
              </w:rPr>
              <w:t>project</w:t>
            </w:r>
            <w:r>
              <w:rPr>
                <w:i/>
                <w:spacing w:val="1"/>
                <w:w w:val="115"/>
              </w:rPr>
              <w:t xml:space="preserve"> </w:t>
            </w:r>
            <w:r>
              <w:rPr>
                <w:i/>
                <w:w w:val="115"/>
              </w:rPr>
              <w:t>financing</w:t>
            </w:r>
            <w:r>
              <w:rPr>
                <w:i/>
                <w:spacing w:val="1"/>
                <w:w w:val="115"/>
              </w:rPr>
              <w:t xml:space="preserve"> </w:t>
            </w:r>
            <w:r>
              <w:rPr>
                <w:w w:val="115"/>
              </w:rPr>
              <w:t>a</w:t>
            </w:r>
            <w:r>
              <w:rPr>
                <w:spacing w:val="1"/>
                <w:w w:val="115"/>
              </w:rPr>
              <w:t xml:space="preserve"> </w:t>
            </w:r>
            <w:r>
              <w:rPr>
                <w:w w:val="115"/>
              </w:rPr>
              <w:t>iniziativa</w:t>
            </w:r>
            <w:r>
              <w:rPr>
                <w:spacing w:val="1"/>
                <w:w w:val="115"/>
              </w:rPr>
              <w:t xml:space="preserve"> </w:t>
            </w:r>
            <w:r>
              <w:rPr>
                <w:w w:val="115"/>
              </w:rPr>
              <w:t>privata</w:t>
            </w:r>
            <w:r>
              <w:rPr>
                <w:spacing w:val="-43"/>
                <w:w w:val="115"/>
              </w:rPr>
              <w:t xml:space="preserve"> </w:t>
            </w:r>
            <w:r>
              <w:rPr>
                <w:w w:val="115"/>
              </w:rPr>
              <w:t>presentate</w:t>
            </w:r>
            <w:r>
              <w:rPr>
                <w:spacing w:val="1"/>
                <w:w w:val="115"/>
              </w:rPr>
              <w:t xml:space="preserve"> </w:t>
            </w:r>
            <w:r>
              <w:rPr>
                <w:w w:val="115"/>
              </w:rPr>
              <w:t>da</w:t>
            </w:r>
            <w:r>
              <w:rPr>
                <w:spacing w:val="1"/>
                <w:w w:val="115"/>
              </w:rPr>
              <w:t xml:space="preserve"> </w:t>
            </w:r>
            <w:r>
              <w:rPr>
                <w:w w:val="115"/>
              </w:rPr>
              <w:t>operatori</w:t>
            </w:r>
            <w:r>
              <w:rPr>
                <w:spacing w:val="1"/>
                <w:w w:val="115"/>
              </w:rPr>
              <w:t xml:space="preserve"> </w:t>
            </w:r>
            <w:r>
              <w:rPr>
                <w:w w:val="115"/>
              </w:rPr>
              <w:t>economici</w:t>
            </w:r>
            <w:r>
              <w:rPr>
                <w:spacing w:val="1"/>
                <w:w w:val="115"/>
              </w:rPr>
              <w:t xml:space="preserve"> ex </w:t>
            </w:r>
            <w:r>
              <w:rPr>
                <w:w w:val="115"/>
              </w:rPr>
              <w:t>art.  183,</w:t>
            </w:r>
            <w:r>
              <w:rPr>
                <w:spacing w:val="1"/>
                <w:w w:val="115"/>
              </w:rPr>
              <w:t xml:space="preserve"> </w:t>
            </w:r>
            <w:r>
              <w:rPr>
                <w:w w:val="115"/>
              </w:rPr>
              <w:t>co.</w:t>
            </w:r>
            <w:r>
              <w:rPr>
                <w:spacing w:val="21"/>
                <w:w w:val="115"/>
              </w:rPr>
              <w:t xml:space="preserve"> </w:t>
            </w:r>
            <w:r>
              <w:rPr>
                <w:w w:val="115"/>
              </w:rPr>
              <w:t>15,</w:t>
            </w:r>
            <w:r>
              <w:rPr>
                <w:spacing w:val="22"/>
                <w:w w:val="115"/>
              </w:rPr>
              <w:t xml:space="preserve"> </w:t>
            </w:r>
            <w:r>
              <w:rPr>
                <w:w w:val="115"/>
              </w:rPr>
              <w:t>d.lgs.</w:t>
            </w:r>
            <w:r>
              <w:rPr>
                <w:spacing w:val="22"/>
                <w:w w:val="115"/>
              </w:rPr>
              <w:t xml:space="preserve"> </w:t>
            </w:r>
            <w:r>
              <w:rPr>
                <w:w w:val="115"/>
              </w:rPr>
              <w:t>50/2016</w:t>
            </w:r>
          </w:p>
        </w:tc>
        <w:tc>
          <w:tcPr>
            <w:tcW w:w="5672" w:type="dxa"/>
            <w:tcBorders/>
            <w:vAlign w:val="center"/>
          </w:tcPr>
          <w:p>
            <w:pPr>
              <w:pStyle w:val="Normal"/>
              <w:rPr/>
            </w:pPr>
            <w:r>
              <w:rPr/>
              <w:t>estremi del provvedimento amministrativo e, al fine di rendere lo stesso chiaramente identificabile (l’ANAC auspica, in via esemplificativa, che siano pubblicati la data, il numero di protocollo del provvedimento, l’oggetto e l’ufficio che lo ha formato oltreché il destinatario ovvero la tipologia di destinatario)</w:t>
            </w:r>
          </w:p>
          <w:p>
            <w:pPr>
              <w:pStyle w:val="Normal"/>
              <w:rPr>
                <w:sz w:val="8"/>
                <w:szCs w:val="8"/>
              </w:rPr>
            </w:pPr>
            <w:r>
              <w:rPr>
                <w:sz w:val="8"/>
                <w:szCs w:val="8"/>
              </w:rPr>
            </w:r>
          </w:p>
          <w:p>
            <w:pPr>
              <w:pStyle w:val="Normal"/>
              <w:rPr/>
            </w:pPr>
            <w:r>
              <w:rPr/>
              <w:t>*** fare un collegamento ipertestuale dalla sotto-sezione “Provvedimenti” ex art. 23 e, auspicabilmente, anche dalla sotto-sezione “Bandi di gara e contratti” ex art. 37, co. 1, lett. b)</w:t>
            </w:r>
          </w:p>
        </w:tc>
        <w:tc>
          <w:tcPr>
            <w:tcW w:w="1132" w:type="dxa"/>
            <w:tcBorders/>
            <w:vAlign w:val="center"/>
          </w:tcPr>
          <w:p>
            <w:pPr>
              <w:pStyle w:val="Intestazione"/>
              <w:jc w:val="center"/>
              <w:rPr/>
            </w:pPr>
            <w:r>
              <w:rPr/>
              <w:t>tempestivo</w:t>
            </w:r>
          </w:p>
        </w:tc>
        <w:tc>
          <w:tcPr>
            <w:tcW w:w="1164" w:type="dxa"/>
            <w:tcBorders/>
            <w:shd w:color="auto" w:fill="auto" w:val="clear"/>
            <w:vAlign w:val="center"/>
          </w:tcPr>
          <w:p>
            <w:pPr>
              <w:pStyle w:val="Intestazione"/>
              <w:jc w:val="center"/>
              <w:rPr/>
            </w:pPr>
            <w:r>
              <w:rPr/>
            </w:r>
          </w:p>
        </w:tc>
        <w:tc>
          <w:tcPr>
            <w:tcW w:w="1275" w:type="dxa"/>
            <w:gridSpan w:val="2"/>
            <w:tcBorders/>
            <w:shd w:color="auto" w:fill="auto" w:val="clear"/>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r>
        <w:trPr/>
        <w:tc>
          <w:tcPr>
            <w:tcW w:w="1134" w:type="dxa"/>
            <w:vMerge w:val="continue"/>
            <w:tcBorders/>
            <w:vAlign w:val="center"/>
          </w:tcPr>
          <w:p>
            <w:pPr>
              <w:pStyle w:val="Intestazione"/>
              <w:jc w:val="center"/>
              <w:rPr>
                <w:b/>
                <w:b/>
                <w:lang w:val="en-GB"/>
              </w:rPr>
            </w:pPr>
            <w:r>
              <w:rPr>
                <w:b/>
                <w:lang w:val="en-GB"/>
              </w:rPr>
            </w:r>
          </w:p>
        </w:tc>
        <w:tc>
          <w:tcPr>
            <w:tcW w:w="1701" w:type="dxa"/>
            <w:vMerge w:val="continue"/>
            <w:tcBorders/>
            <w:vAlign w:val="center"/>
          </w:tcPr>
          <w:p>
            <w:pPr>
              <w:pStyle w:val="Intestazione"/>
              <w:jc w:val="center"/>
              <w:rPr>
                <w:b/>
                <w:b/>
                <w:lang w:val="en-GB"/>
              </w:rPr>
            </w:pPr>
            <w:r>
              <w:rPr>
                <w:b/>
                <w:lang w:val="en-GB"/>
              </w:rPr>
            </w:r>
          </w:p>
        </w:tc>
        <w:tc>
          <w:tcPr>
            <w:tcW w:w="1134" w:type="dxa"/>
            <w:tcBorders/>
            <w:vAlign w:val="center"/>
          </w:tcPr>
          <w:p>
            <w:pPr>
              <w:pStyle w:val="TableParagraph"/>
              <w:spacing w:before="6" w:after="0"/>
              <w:ind w:left="102" w:hanging="0"/>
              <w:jc w:val="center"/>
              <w:rPr>
                <w:sz w:val="13"/>
                <w:szCs w:val="13"/>
                <w:lang w:val="en-GB"/>
              </w:rPr>
            </w:pPr>
            <w:r>
              <w:rPr>
                <w:rFonts w:cs="Calibri" w:ascii="Calibri" w:hAnsi="Calibri"/>
                <w:w w:val="125"/>
                <w:sz w:val="13"/>
                <w:szCs w:val="13"/>
              </w:rPr>
              <w:t>Art.</w:t>
            </w:r>
            <w:r>
              <w:rPr>
                <w:rFonts w:cs="Calibri" w:ascii="Calibri" w:hAnsi="Calibri"/>
                <w:spacing w:val="-4"/>
                <w:w w:val="125"/>
                <w:sz w:val="13"/>
                <w:szCs w:val="13"/>
              </w:rPr>
              <w:t xml:space="preserve"> </w:t>
            </w:r>
            <w:r>
              <w:rPr>
                <w:rFonts w:cs="Calibri" w:ascii="Calibri" w:hAnsi="Calibri"/>
                <w:w w:val="125"/>
                <w:sz w:val="13"/>
                <w:szCs w:val="13"/>
              </w:rPr>
              <w:t>48</w:t>
            </w:r>
            <w:r>
              <w:rPr>
                <w:rFonts w:cs="Calibri" w:ascii="Calibri" w:hAnsi="Calibri"/>
                <w:spacing w:val="-5"/>
                <w:w w:val="125"/>
                <w:sz w:val="13"/>
                <w:szCs w:val="13"/>
              </w:rPr>
              <w:t xml:space="preserve"> </w:t>
            </w:r>
            <w:r>
              <w:rPr>
                <w:rFonts w:cs="Calibri" w:ascii="Calibri" w:hAnsi="Calibri"/>
                <w:w w:val="125"/>
                <w:sz w:val="13"/>
                <w:szCs w:val="13"/>
              </w:rPr>
              <w:t>D.lgs.</w:t>
            </w:r>
            <w:r>
              <w:rPr>
                <w:rFonts w:cs="Calibri" w:ascii="Calibri" w:hAnsi="Calibri"/>
                <w:spacing w:val="-5"/>
                <w:w w:val="125"/>
                <w:sz w:val="13"/>
                <w:szCs w:val="13"/>
              </w:rPr>
              <w:t xml:space="preserve"> </w:t>
            </w:r>
            <w:r>
              <w:rPr>
                <w:rFonts w:cs="Calibri" w:ascii="Calibri" w:hAnsi="Calibri"/>
                <w:w w:val="125"/>
                <w:sz w:val="13"/>
                <w:szCs w:val="13"/>
              </w:rPr>
              <w:t>n.198</w:t>
            </w:r>
            <w:r>
              <w:rPr>
                <w:rFonts w:cs="Calibri" w:ascii="Calibri" w:hAnsi="Calibri"/>
                <w:spacing w:val="-5"/>
                <w:w w:val="125"/>
                <w:sz w:val="13"/>
                <w:szCs w:val="13"/>
              </w:rPr>
              <w:t xml:space="preserve"> </w:t>
            </w:r>
            <w:r>
              <w:rPr>
                <w:rFonts w:cs="Calibri" w:ascii="Calibri" w:hAnsi="Calibri"/>
                <w:spacing w:val="-4"/>
                <w:w w:val="125"/>
                <w:sz w:val="13"/>
                <w:szCs w:val="13"/>
              </w:rPr>
              <w:t xml:space="preserve">del </w:t>
            </w:r>
            <w:r>
              <w:rPr>
                <w:rFonts w:cs="Calibri" w:ascii="Calibri" w:hAnsi="Calibri"/>
                <w:w w:val="125"/>
                <w:sz w:val="13"/>
                <w:szCs w:val="13"/>
              </w:rPr>
              <w:t>15/6/</w:t>
            </w:r>
            <w:r>
              <w:rPr>
                <w:rFonts w:cs="Calibri" w:ascii="Calibri" w:hAnsi="Calibri"/>
                <w:w w:val="115"/>
                <w:sz w:val="13"/>
                <w:szCs w:val="13"/>
              </w:rPr>
              <w:t>2006</w:t>
            </w:r>
          </w:p>
        </w:tc>
        <w:tc>
          <w:tcPr>
            <w:tcW w:w="2268" w:type="dxa"/>
            <w:tcBorders/>
            <w:vAlign w:val="center"/>
          </w:tcPr>
          <w:p>
            <w:pPr>
              <w:pStyle w:val="Normal"/>
              <w:jc w:val="center"/>
              <w:rPr/>
            </w:pPr>
            <w:r>
              <w:rPr/>
              <w:t>Piano triennale delle Azioni Positive</w:t>
            </w:r>
          </w:p>
        </w:tc>
        <w:tc>
          <w:tcPr>
            <w:tcW w:w="5672" w:type="dxa"/>
            <w:tcBorders/>
            <w:vAlign w:val="center"/>
          </w:tcPr>
          <w:p>
            <w:pPr>
              <w:pStyle w:val="Normal"/>
              <w:rPr/>
            </w:pPr>
            <w:r>
              <w:rPr/>
              <w:t>Piano triennale delle Azioni Positive</w:t>
            </w:r>
          </w:p>
        </w:tc>
        <w:tc>
          <w:tcPr>
            <w:tcW w:w="1132" w:type="dxa"/>
            <w:tcBorders/>
            <w:vAlign w:val="center"/>
          </w:tcPr>
          <w:p>
            <w:pPr>
              <w:pStyle w:val="Intestazione"/>
              <w:jc w:val="center"/>
              <w:rPr/>
            </w:pPr>
            <w:r>
              <w:rPr/>
              <w:t>tempestivo</w:t>
            </w:r>
          </w:p>
        </w:tc>
        <w:tc>
          <w:tcPr>
            <w:tcW w:w="1164" w:type="dxa"/>
            <w:tcBorders/>
            <w:shd w:color="auto" w:fill="auto" w:val="clear"/>
            <w:vAlign w:val="center"/>
          </w:tcPr>
          <w:p>
            <w:pPr>
              <w:pStyle w:val="Intestazione"/>
              <w:jc w:val="center"/>
              <w:rPr/>
            </w:pPr>
            <w:r>
              <w:rPr/>
            </w:r>
          </w:p>
        </w:tc>
        <w:tc>
          <w:tcPr>
            <w:tcW w:w="1275" w:type="dxa"/>
            <w:gridSpan w:val="2"/>
            <w:tcBorders/>
            <w:shd w:color="auto" w:fill="auto" w:val="clear"/>
            <w:vAlign w:val="center"/>
          </w:tcPr>
          <w:p>
            <w:pPr>
              <w:pStyle w:val="Intestazione"/>
              <w:jc w:val="center"/>
              <w:rPr/>
            </w:pPr>
            <w:r>
              <w:rPr/>
            </w:r>
          </w:p>
        </w:tc>
        <w:tc>
          <w:tcPr>
            <w:tcW w:w="139" w:type="dxa"/>
            <w:tcBorders>
              <w:top w:val="nil"/>
              <w:left w:val="nil"/>
              <w:bottom w:val="nil"/>
              <w:right w:val="nil"/>
            </w:tcBorders>
            <w:tcMar>
              <w:top w:w="0" w:type="dxa"/>
              <w:left w:w="108" w:type="dxa"/>
              <w:bottom w:w="0" w:type="dxa"/>
              <w:right w:w="108" w:type="dxa"/>
            </w:tcMar>
          </w:tcPr>
          <w:p>
            <w:pPr>
              <w:pStyle w:val="Normal"/>
              <w:rPr/>
            </w:pPr>
            <w:r>
              <w:rPr/>
            </w:r>
          </w:p>
        </w:tc>
      </w:tr>
    </w:tbl>
    <w:p>
      <w:pPr>
        <w:pStyle w:val="Normal"/>
        <w:rPr/>
      </w:pPr>
      <w:r>
        <w:rPr/>
      </w:r>
    </w:p>
    <w:p>
      <w:pPr>
        <w:pStyle w:val="Normal"/>
        <w:rPr/>
      </w:pPr>
      <w:r>
        <w:rPr/>
      </w:r>
    </w:p>
    <w:p>
      <w:pPr>
        <w:pStyle w:val="Normal"/>
        <w:rPr/>
      </w:pPr>
      <w:r>
        <w:rPr/>
      </w:r>
    </w:p>
    <w:sectPr>
      <w:headerReference w:type="default" r:id="rId2"/>
      <w:type w:val="nextPage"/>
      <w:pgSz w:orient="landscape" w:w="16838" w:h="11906"/>
      <w:pgMar w:left="765" w:right="765" w:header="680" w:top="737" w:footer="0" w:bottom="567" w:gutter="0"/>
      <w:pgNumType w:fmt="decimal"/>
      <w:formProt w:val="false"/>
      <w:textDirection w:val="lrTb"/>
      <w:docGrid w:type="default" w:linePitch="360" w:charSpace="2232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Cambria">
    <w:charset w:val="00"/>
    <w:family w:val="roman"/>
    <w:pitch w:val="variable"/>
  </w:font>
  <w:font w:name="Berlin Sans FB Demi">
    <w:charset w:val="00"/>
    <w:family w:val="roman"/>
    <w:pitch w:val="variable"/>
  </w:font>
  <w:font w:name="Cambria">
    <w:charset w:val="01"/>
    <w:family w:val="roman"/>
    <w:pitch w:val="variable"/>
  </w:font>
  <w:font w:name="Wingdings">
    <w:charset w:val="02"/>
    <w:family w:val="auto"/>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3343" w:type="dxa"/>
      <w:jc w:val="center"/>
      <w:tblInd w:w="0" w:type="dxa"/>
      <w:tblCellMar>
        <w:top w:w="28" w:type="dxa"/>
        <w:left w:w="85" w:type="dxa"/>
        <w:bottom w:w="28" w:type="dxa"/>
        <w:right w:w="85" w:type="dxa"/>
      </w:tblCellMar>
      <w:tblLook w:firstRow="1" w:noVBand="1" w:lastRow="0" w:firstColumn="1" w:lastColumn="0" w:noHBand="0" w:val="04a0"/>
    </w:tblPr>
    <w:tblGrid>
      <w:gridCol w:w="2136"/>
      <w:gridCol w:w="2127"/>
      <w:gridCol w:w="7513"/>
      <w:gridCol w:w="1566"/>
    </w:tblGrid>
    <w:tr>
      <w:trPr/>
      <w:tc>
        <w:tcPr>
          <w:tcW w:w="2136" w:type="dxa"/>
          <w:tcBorders>
            <w:top w:val="single" w:sz="4" w:space="0" w:color="000000"/>
            <w:left w:val="single" w:sz="4" w:space="0" w:color="000000"/>
            <w:bottom w:val="single" w:sz="4" w:space="0" w:color="000000"/>
            <w:right w:val="single" w:sz="4" w:space="0" w:color="000000"/>
          </w:tcBorders>
          <w:vAlign w:val="center"/>
        </w:tcPr>
        <w:p>
          <w:pPr>
            <w:pStyle w:val="Intestazione"/>
            <w:jc w:val="center"/>
            <w:rPr>
              <w:rFonts w:cs="Calibri" w:cstheme="minorHAnsi"/>
              <w:b/>
              <w:b/>
              <w:sz w:val="20"/>
              <w:szCs w:val="20"/>
            </w:rPr>
          </w:pPr>
          <w:r>
            <w:rPr>
              <w:rFonts w:cs="Calibri" w:cstheme="minorHAnsi"/>
              <w:b/>
              <w:sz w:val="20"/>
              <w:szCs w:val="20"/>
            </w:rPr>
            <w:t xml:space="preserve">COMUNE DI </w:t>
          </w:r>
          <w:r>
            <w:rPr>
              <w:rFonts w:cs="Calibri" w:cstheme="minorHAnsi"/>
              <w:b/>
              <w:sz w:val="20"/>
              <w:szCs w:val="20"/>
            </w:rPr>
            <w:t>INDUNO OLONA</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Intestazione"/>
            <w:jc w:val="center"/>
            <w:rPr>
              <w:rFonts w:cs="Calibri" w:cstheme="minorHAnsi"/>
              <w:b/>
              <w:b/>
              <w:sz w:val="20"/>
              <w:szCs w:val="20"/>
            </w:rPr>
          </w:pPr>
          <w:r>
            <w:rPr>
              <w:rFonts w:cs="Calibri" w:cstheme="minorHAnsi"/>
              <w:b/>
              <w:sz w:val="20"/>
              <w:szCs w:val="20"/>
            </w:rPr>
            <w:t>PTPCT 2022-2024</w:t>
          </w:r>
        </w:p>
      </w:tc>
      <w:tc>
        <w:tcPr>
          <w:tcW w:w="751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Intestazione"/>
            <w:jc w:val="center"/>
            <w:rPr>
              <w:rFonts w:cs="Calibri" w:cstheme="minorHAnsi"/>
              <w:b/>
              <w:b/>
              <w:sz w:val="20"/>
              <w:szCs w:val="20"/>
            </w:rPr>
          </w:pPr>
          <w:r>
            <w:rPr>
              <w:rFonts w:cs="Calibri" w:cstheme="minorHAnsi"/>
              <w:b/>
              <w:sz w:val="20"/>
              <w:szCs w:val="20"/>
            </w:rPr>
            <w:t>PUBBLICAZIONI OBBLIGATORIE NELLA SEZIONE “AMMINISTRAZIONE TRASPARENTE”</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Intestazione"/>
            <w:jc w:val="center"/>
            <w:rPr>
              <w:rFonts w:cs="Calibri" w:cstheme="minorHAnsi"/>
              <w:b/>
              <w:b/>
              <w:sz w:val="20"/>
              <w:szCs w:val="20"/>
            </w:rPr>
          </w:pPr>
          <w:r>
            <w:rPr>
              <w:rFonts w:cs="Calibri" w:cstheme="minorHAnsi"/>
              <w:b/>
              <w:sz w:val="20"/>
              <w:szCs w:val="20"/>
            </w:rPr>
            <w:t xml:space="preserve">ALLEGATO   </w:t>
          </w:r>
        </w:p>
      </w:tc>
    </w:tr>
  </w:tbl>
  <w:p>
    <w:pPr>
      <w:pStyle w:val="Intestazione"/>
      <w:rPr>
        <w:rFonts w:cs="Calibri" w:cstheme="minorHAnsi"/>
      </w:rPr>
    </w:pPr>
    <w:r>
      <w:rPr>
        <w:rFonts w:cs="Calibri" w:cstheme="minorHAnsi"/>
      </w:rPr>
    </w:r>
  </w:p>
  <w:tbl>
    <w:tblPr>
      <w:tblStyle w:val="Grigliatabella"/>
      <w:tblW w:w="15621" w:type="dxa"/>
      <w:jc w:val="left"/>
      <w:tblInd w:w="0" w:type="dxa"/>
      <w:tblCellMar>
        <w:top w:w="28" w:type="dxa"/>
        <w:left w:w="28" w:type="dxa"/>
        <w:bottom w:w="28" w:type="dxa"/>
        <w:right w:w="28" w:type="dxa"/>
      </w:tblCellMar>
      <w:tblLook w:firstRow="1" w:noVBand="1" w:lastRow="0" w:firstColumn="1" w:lastColumn="0" w:noHBand="0" w:val="04a0"/>
    </w:tblPr>
    <w:tblGrid>
      <w:gridCol w:w="1134"/>
      <w:gridCol w:w="1701"/>
      <w:gridCol w:w="1132"/>
      <w:gridCol w:w="2270"/>
      <w:gridCol w:w="5670"/>
      <w:gridCol w:w="1163"/>
      <w:gridCol w:w="1276"/>
      <w:gridCol w:w="1273"/>
    </w:tblGrid>
    <w:tr>
      <w:trPr/>
      <w:tc>
        <w:tcPr>
          <w:tcW w:w="1134" w:type="dxa"/>
          <w:tcBorders/>
          <w:shd w:color="auto" w:fill="BFBFBF" w:themeFill="background1" w:themeFillShade="bf" w:val="clear"/>
          <w:vAlign w:val="center"/>
        </w:tcPr>
        <w:p>
          <w:pPr>
            <w:pStyle w:val="Intestazione"/>
            <w:jc w:val="center"/>
            <w:rPr>
              <w:b/>
              <w:b/>
            </w:rPr>
          </w:pPr>
          <w:r>
            <w:rPr>
              <w:b/>
            </w:rPr>
            <w:t>Denominazione</w:t>
          </w:r>
        </w:p>
        <w:p>
          <w:pPr>
            <w:pStyle w:val="Intestazione"/>
            <w:jc w:val="center"/>
            <w:rPr>
              <w:b/>
              <w:b/>
            </w:rPr>
          </w:pPr>
          <w:r>
            <w:rPr>
              <w:b/>
            </w:rPr>
            <w:t>sotto-sezione</w:t>
          </w:r>
        </w:p>
        <w:p>
          <w:pPr>
            <w:pStyle w:val="Intestazione"/>
            <w:jc w:val="center"/>
            <w:rPr>
              <w:b/>
              <w:b/>
            </w:rPr>
          </w:pPr>
          <w:r>
            <w:rPr>
              <w:b/>
            </w:rPr>
            <w:t>1 livello (Macrofamiglie)</w:t>
          </w:r>
        </w:p>
      </w:tc>
      <w:tc>
        <w:tcPr>
          <w:tcW w:w="1701" w:type="dxa"/>
          <w:tcBorders/>
          <w:shd w:color="auto" w:fill="BFBFBF" w:themeFill="background1" w:themeFillShade="bf" w:val="clear"/>
          <w:vAlign w:val="center"/>
        </w:tcPr>
        <w:p>
          <w:pPr>
            <w:pStyle w:val="Intestazione"/>
            <w:jc w:val="center"/>
            <w:rPr>
              <w:b/>
              <w:b/>
            </w:rPr>
          </w:pPr>
          <w:r>
            <w:rPr>
              <w:b/>
            </w:rPr>
            <w:t>Denominazione</w:t>
          </w:r>
        </w:p>
        <w:p>
          <w:pPr>
            <w:pStyle w:val="Intestazione"/>
            <w:jc w:val="center"/>
            <w:rPr>
              <w:b/>
              <w:b/>
            </w:rPr>
          </w:pPr>
          <w:r>
            <w:rPr>
              <w:b/>
            </w:rPr>
            <w:t>sotto-sezione</w:t>
          </w:r>
        </w:p>
        <w:p>
          <w:pPr>
            <w:pStyle w:val="Intestazione"/>
            <w:jc w:val="center"/>
            <w:rPr>
              <w:b/>
              <w:b/>
            </w:rPr>
          </w:pPr>
          <w:r>
            <w:rPr>
              <w:b/>
            </w:rPr>
            <w:t>2 livello</w:t>
          </w:r>
        </w:p>
        <w:p>
          <w:pPr>
            <w:pStyle w:val="Intestazione"/>
            <w:jc w:val="center"/>
            <w:rPr>
              <w:b/>
              <w:b/>
            </w:rPr>
          </w:pPr>
          <w:r>
            <w:rPr>
              <w:b/>
            </w:rPr>
            <w:t>(Tipologie di dati)</w:t>
          </w:r>
        </w:p>
      </w:tc>
      <w:tc>
        <w:tcPr>
          <w:tcW w:w="1132" w:type="dxa"/>
          <w:tcBorders/>
          <w:shd w:color="auto" w:fill="BFBFBF" w:themeFill="background1" w:themeFillShade="bf" w:val="clear"/>
          <w:vAlign w:val="center"/>
        </w:tcPr>
        <w:p>
          <w:pPr>
            <w:pStyle w:val="Intestazione"/>
            <w:jc w:val="center"/>
            <w:rPr>
              <w:b/>
              <w:b/>
              <w:lang w:val="en-GB"/>
            </w:rPr>
          </w:pPr>
          <w:r>
            <w:rPr>
              <w:b/>
              <w:lang w:val="en-GB"/>
            </w:rPr>
            <w:t>art./com,</w:t>
          </w:r>
        </w:p>
        <w:p>
          <w:pPr>
            <w:pStyle w:val="Intestazione"/>
            <w:jc w:val="center"/>
            <w:rPr>
              <w:b/>
              <w:b/>
              <w:lang w:val="en-US"/>
            </w:rPr>
          </w:pPr>
          <w:r>
            <w:rPr>
              <w:b/>
              <w:lang w:val="en-US"/>
            </w:rPr>
            <w:t>del d.lgs. 33/2013</w:t>
          </w:r>
        </w:p>
        <w:p>
          <w:pPr>
            <w:pStyle w:val="Intestazione"/>
            <w:jc w:val="center"/>
            <w:rPr>
              <w:b/>
              <w:b/>
            </w:rPr>
          </w:pPr>
          <w:r>
            <w:rPr>
              <w:b/>
            </w:rPr>
            <w:t>o altra norma</w:t>
          </w:r>
        </w:p>
      </w:tc>
      <w:tc>
        <w:tcPr>
          <w:tcW w:w="2270" w:type="dxa"/>
          <w:tcBorders/>
          <w:shd w:color="auto" w:fill="BFBFBF" w:themeFill="background1" w:themeFillShade="bf" w:val="clear"/>
          <w:vAlign w:val="center"/>
        </w:tcPr>
        <w:p>
          <w:pPr>
            <w:pStyle w:val="Intestazione"/>
            <w:jc w:val="center"/>
            <w:rPr>
              <w:b/>
              <w:b/>
            </w:rPr>
          </w:pPr>
          <w:r>
            <w:rPr>
              <w:b/>
            </w:rPr>
            <w:t>Denominazione del singolo obbligo</w:t>
          </w:r>
        </w:p>
      </w:tc>
      <w:tc>
        <w:tcPr>
          <w:tcW w:w="5670" w:type="dxa"/>
          <w:tcBorders/>
          <w:shd w:color="auto" w:fill="BFBFBF" w:themeFill="background1" w:themeFillShade="bf" w:val="clear"/>
          <w:vAlign w:val="center"/>
        </w:tcPr>
        <w:p>
          <w:pPr>
            <w:pStyle w:val="Intestazione"/>
            <w:jc w:val="center"/>
            <w:rPr>
              <w:b/>
              <w:b/>
            </w:rPr>
          </w:pPr>
          <w:r>
            <w:rPr>
              <w:b/>
            </w:rPr>
            <w:t>Contenuti dell'obbligo</w:t>
          </w:r>
        </w:p>
      </w:tc>
      <w:tc>
        <w:tcPr>
          <w:tcW w:w="1163" w:type="dxa"/>
          <w:tcBorders/>
          <w:shd w:color="auto" w:fill="BFBFBF" w:themeFill="background1" w:themeFillShade="bf" w:val="clear"/>
          <w:vAlign w:val="center"/>
        </w:tcPr>
        <w:p>
          <w:pPr>
            <w:pStyle w:val="Intestazione"/>
            <w:jc w:val="center"/>
            <w:rPr>
              <w:b/>
              <w:b/>
            </w:rPr>
          </w:pPr>
          <w:r>
            <w:rPr>
              <w:b/>
            </w:rPr>
            <w:t>Aggiornamento</w:t>
          </w:r>
        </w:p>
      </w:tc>
      <w:tc>
        <w:tcPr>
          <w:tcW w:w="1276" w:type="dxa"/>
          <w:tcBorders/>
          <w:shd w:color="auto" w:fill="BFBFBF" w:themeFill="background1" w:themeFillShade="bf" w:val="clear"/>
          <w:vAlign w:val="center"/>
        </w:tcPr>
        <w:p>
          <w:pPr>
            <w:pStyle w:val="Intestazione"/>
            <w:jc w:val="center"/>
            <w:rPr>
              <w:b/>
              <w:b/>
            </w:rPr>
          </w:pPr>
          <w:r>
            <w:rPr>
              <w:b/>
            </w:rPr>
            <w:t>Responsabile</w:t>
          </w:r>
        </w:p>
        <w:p>
          <w:pPr>
            <w:pStyle w:val="Intestazione"/>
            <w:jc w:val="center"/>
            <w:rPr>
              <w:b/>
              <w:b/>
            </w:rPr>
          </w:pPr>
          <w:r>
            <w:rPr>
              <w:b/>
            </w:rPr>
            <w:t>della</w:t>
          </w:r>
        </w:p>
        <w:p>
          <w:pPr>
            <w:pStyle w:val="Intestazione"/>
            <w:jc w:val="center"/>
            <w:rPr>
              <w:b/>
              <w:b/>
            </w:rPr>
          </w:pPr>
          <w:r>
            <w:rPr>
              <w:b/>
            </w:rPr>
            <w:t xml:space="preserve"> </w:t>
          </w:r>
          <w:r>
            <w:rPr>
              <w:b/>
            </w:rPr>
            <w:t>trasmissione</w:t>
          </w:r>
        </w:p>
      </w:tc>
      <w:tc>
        <w:tcPr>
          <w:tcW w:w="1273" w:type="dxa"/>
          <w:tcBorders/>
          <w:shd w:color="auto" w:fill="BFBFBF" w:themeFill="background1" w:themeFillShade="bf" w:val="clear"/>
          <w:vAlign w:val="center"/>
        </w:tcPr>
        <w:p>
          <w:pPr>
            <w:pStyle w:val="Intestazione"/>
            <w:jc w:val="center"/>
            <w:rPr>
              <w:b/>
              <w:b/>
            </w:rPr>
          </w:pPr>
          <w:r>
            <w:rPr>
              <w:b/>
            </w:rPr>
            <w:t>Responsabile</w:t>
          </w:r>
        </w:p>
        <w:p>
          <w:pPr>
            <w:pStyle w:val="Intestazione"/>
            <w:jc w:val="center"/>
            <w:rPr>
              <w:b/>
              <w:b/>
            </w:rPr>
          </w:pPr>
          <w:r>
            <w:rPr>
              <w:b/>
            </w:rPr>
            <w:t>della</w:t>
          </w:r>
        </w:p>
        <w:p>
          <w:pPr>
            <w:pStyle w:val="Intestazione"/>
            <w:jc w:val="center"/>
            <w:rPr>
              <w:b/>
              <w:b/>
            </w:rPr>
          </w:pPr>
          <w:r>
            <w:rPr>
              <w:b/>
            </w:rPr>
            <w:t>pubblicazione</w:t>
          </w:r>
        </w:p>
      </w:tc>
    </w:tr>
  </w:tbl>
  <w:p>
    <w:pPr>
      <w:pStyle w:val="Intestazione"/>
      <w:rPr>
        <w:rFonts w:cs="Calibri" w:cstheme="minorHAnsi"/>
      </w:rPr>
    </w:pPr>
    <w:r>
      <w:rPr>
        <w:rFonts w:cs="Calibri" w:cstheme="minorHAnsi"/>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103" w:hanging="245"/>
      </w:pPr>
      <w:rPr>
        <w:rFonts w:ascii="Cambria" w:hAnsi="Cambria" w:cs="Cambria" w:hint="default"/>
        <w:sz w:val="18"/>
        <w:szCs w:val="18"/>
        <w:w w:val="125"/>
        <w:rFonts w:cs="Cambria"/>
        <w:lang w:val="it-IT" w:eastAsia="en-US" w:bidi="ar-SA"/>
      </w:rPr>
    </w:lvl>
    <w:lvl w:ilvl="1">
      <w:start w:val="1"/>
      <w:numFmt w:val="bullet"/>
      <w:lvlText w:val=""/>
      <w:lvlJc w:val="left"/>
      <w:pPr>
        <w:ind w:left="779" w:hanging="339"/>
      </w:pPr>
      <w:rPr>
        <w:rFonts w:ascii="Symbol" w:hAnsi="Symbol" w:cs="Symbol" w:hint="default"/>
        <w:sz w:val="13"/>
        <w:szCs w:val="18"/>
        <w:w w:val="103"/>
        <w:rFonts w:cs="Symbol"/>
        <w:lang w:val="it-IT" w:eastAsia="en-US" w:bidi="ar-SA"/>
      </w:rPr>
    </w:lvl>
    <w:lvl w:ilvl="2">
      <w:start w:val="1"/>
      <w:numFmt w:val="bullet"/>
      <w:lvlText w:val=""/>
      <w:lvlJc w:val="left"/>
      <w:pPr>
        <w:ind w:left="1027" w:hanging="339"/>
      </w:pPr>
      <w:rPr>
        <w:rFonts w:ascii="Symbol" w:hAnsi="Symbol" w:cs="Symbol" w:hint="default"/>
        <w:rFonts w:cs="Symbol"/>
        <w:lang w:val="it-IT" w:eastAsia="en-US" w:bidi="ar-SA"/>
      </w:rPr>
    </w:lvl>
    <w:lvl w:ilvl="3">
      <w:start w:val="1"/>
      <w:numFmt w:val="bullet"/>
      <w:lvlText w:val=""/>
      <w:lvlJc w:val="left"/>
      <w:pPr>
        <w:ind w:left="1274" w:hanging="339"/>
      </w:pPr>
      <w:rPr>
        <w:rFonts w:ascii="Symbol" w:hAnsi="Symbol" w:cs="Symbol" w:hint="default"/>
        <w:rFonts w:cs="Symbol"/>
        <w:lang w:val="it-IT" w:eastAsia="en-US" w:bidi="ar-SA"/>
      </w:rPr>
    </w:lvl>
    <w:lvl w:ilvl="4">
      <w:start w:val="1"/>
      <w:numFmt w:val="bullet"/>
      <w:lvlText w:val=""/>
      <w:lvlJc w:val="left"/>
      <w:pPr>
        <w:ind w:left="1522" w:hanging="339"/>
      </w:pPr>
      <w:rPr>
        <w:rFonts w:ascii="Symbol" w:hAnsi="Symbol" w:cs="Symbol" w:hint="default"/>
        <w:rFonts w:cs="Symbol"/>
        <w:lang w:val="it-IT" w:eastAsia="en-US" w:bidi="ar-SA"/>
      </w:rPr>
    </w:lvl>
    <w:lvl w:ilvl="5">
      <w:start w:val="1"/>
      <w:numFmt w:val="bullet"/>
      <w:lvlText w:val=""/>
      <w:lvlJc w:val="left"/>
      <w:pPr>
        <w:ind w:left="1769" w:hanging="339"/>
      </w:pPr>
      <w:rPr>
        <w:rFonts w:ascii="Symbol" w:hAnsi="Symbol" w:cs="Symbol" w:hint="default"/>
        <w:rFonts w:cs="Symbol"/>
        <w:lang w:val="it-IT" w:eastAsia="en-US" w:bidi="ar-SA"/>
      </w:rPr>
    </w:lvl>
    <w:lvl w:ilvl="6">
      <w:start w:val="1"/>
      <w:numFmt w:val="bullet"/>
      <w:lvlText w:val=""/>
      <w:lvlJc w:val="left"/>
      <w:pPr>
        <w:ind w:left="2016" w:hanging="339"/>
      </w:pPr>
      <w:rPr>
        <w:rFonts w:ascii="Symbol" w:hAnsi="Symbol" w:cs="Symbol" w:hint="default"/>
        <w:rFonts w:cs="Symbol"/>
        <w:lang w:val="it-IT" w:eastAsia="en-US" w:bidi="ar-SA"/>
      </w:rPr>
    </w:lvl>
    <w:lvl w:ilvl="7">
      <w:start w:val="1"/>
      <w:numFmt w:val="bullet"/>
      <w:lvlText w:val=""/>
      <w:lvlJc w:val="left"/>
      <w:pPr>
        <w:ind w:left="2264" w:hanging="339"/>
      </w:pPr>
      <w:rPr>
        <w:rFonts w:ascii="Symbol" w:hAnsi="Symbol" w:cs="Symbol" w:hint="default"/>
        <w:rFonts w:cs="Symbol"/>
        <w:lang w:val="it-IT" w:eastAsia="en-US" w:bidi="ar-SA"/>
      </w:rPr>
    </w:lvl>
    <w:lvl w:ilvl="8">
      <w:start w:val="1"/>
      <w:numFmt w:val="bullet"/>
      <w:lvlText w:val=""/>
      <w:lvlJc w:val="left"/>
      <w:pPr>
        <w:ind w:left="2511" w:hanging="339"/>
      </w:pPr>
      <w:rPr>
        <w:rFonts w:ascii="Symbol" w:hAnsi="Symbol" w:cs="Symbol" w:hint="default"/>
        <w:rFonts w:cs="Symbol"/>
        <w:lang w:val="it-IT" w:eastAsia="en-US" w:bidi="ar-SA"/>
      </w:rPr>
    </w:lvl>
  </w:abstractNum>
  <w:abstractNum w:abstractNumId="4">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103" w:hanging="270"/>
      </w:pPr>
      <w:rPr>
        <w:rFonts w:ascii="Wingdings" w:hAnsi="Wingdings" w:cs="Wingdings" w:hint="default"/>
        <w:sz w:val="18"/>
        <w:szCs w:val="18"/>
        <w:w w:val="125"/>
        <w:rFonts w:cs="Wingdings"/>
        <w:lang w:val="it-IT" w:eastAsia="en-US" w:bidi="ar-SA"/>
      </w:rPr>
    </w:lvl>
    <w:lvl w:ilvl="1">
      <w:start w:val="1"/>
      <w:numFmt w:val="bullet"/>
      <w:lvlText w:val=""/>
      <w:lvlJc w:val="left"/>
      <w:pPr>
        <w:ind w:left="390" w:hanging="270"/>
      </w:pPr>
      <w:rPr>
        <w:rFonts w:ascii="Symbol" w:hAnsi="Symbol" w:cs="Symbol" w:hint="default"/>
        <w:rFonts w:cs="Symbol"/>
        <w:lang w:val="it-IT" w:eastAsia="en-US" w:bidi="ar-SA"/>
      </w:rPr>
    </w:lvl>
    <w:lvl w:ilvl="2">
      <w:start w:val="1"/>
      <w:numFmt w:val="bullet"/>
      <w:lvlText w:val=""/>
      <w:lvlJc w:val="left"/>
      <w:pPr>
        <w:ind w:left="681" w:hanging="270"/>
      </w:pPr>
      <w:rPr>
        <w:rFonts w:ascii="Symbol" w:hAnsi="Symbol" w:cs="Symbol" w:hint="default"/>
        <w:rFonts w:cs="Symbol"/>
        <w:lang w:val="it-IT" w:eastAsia="en-US" w:bidi="ar-SA"/>
      </w:rPr>
    </w:lvl>
    <w:lvl w:ilvl="3">
      <w:start w:val="1"/>
      <w:numFmt w:val="bullet"/>
      <w:lvlText w:val=""/>
      <w:lvlJc w:val="left"/>
      <w:pPr>
        <w:ind w:left="971" w:hanging="270"/>
      </w:pPr>
      <w:rPr>
        <w:rFonts w:ascii="Symbol" w:hAnsi="Symbol" w:cs="Symbol" w:hint="default"/>
        <w:rFonts w:cs="Symbol"/>
        <w:lang w:val="it-IT" w:eastAsia="en-US" w:bidi="ar-SA"/>
      </w:rPr>
    </w:lvl>
    <w:lvl w:ilvl="4">
      <w:start w:val="1"/>
      <w:numFmt w:val="bullet"/>
      <w:lvlText w:val=""/>
      <w:lvlJc w:val="left"/>
      <w:pPr>
        <w:ind w:left="1262" w:hanging="270"/>
      </w:pPr>
      <w:rPr>
        <w:rFonts w:ascii="Symbol" w:hAnsi="Symbol" w:cs="Symbol" w:hint="default"/>
        <w:rFonts w:cs="Symbol"/>
        <w:lang w:val="it-IT" w:eastAsia="en-US" w:bidi="ar-SA"/>
      </w:rPr>
    </w:lvl>
    <w:lvl w:ilvl="5">
      <w:start w:val="1"/>
      <w:numFmt w:val="bullet"/>
      <w:lvlText w:val=""/>
      <w:lvlJc w:val="left"/>
      <w:pPr>
        <w:ind w:left="1553" w:hanging="270"/>
      </w:pPr>
      <w:rPr>
        <w:rFonts w:ascii="Symbol" w:hAnsi="Symbol" w:cs="Symbol" w:hint="default"/>
        <w:rFonts w:cs="Symbol"/>
        <w:lang w:val="it-IT" w:eastAsia="en-US" w:bidi="ar-SA"/>
      </w:rPr>
    </w:lvl>
    <w:lvl w:ilvl="6">
      <w:start w:val="1"/>
      <w:numFmt w:val="bullet"/>
      <w:lvlText w:val=""/>
      <w:lvlJc w:val="left"/>
      <w:pPr>
        <w:ind w:left="1843" w:hanging="270"/>
      </w:pPr>
      <w:rPr>
        <w:rFonts w:ascii="Symbol" w:hAnsi="Symbol" w:cs="Symbol" w:hint="default"/>
        <w:rFonts w:cs="Symbol"/>
        <w:lang w:val="it-IT" w:eastAsia="en-US" w:bidi="ar-SA"/>
      </w:rPr>
    </w:lvl>
    <w:lvl w:ilvl="7">
      <w:start w:val="1"/>
      <w:numFmt w:val="bullet"/>
      <w:lvlText w:val=""/>
      <w:lvlJc w:val="left"/>
      <w:pPr>
        <w:ind w:left="2134" w:hanging="270"/>
      </w:pPr>
      <w:rPr>
        <w:rFonts w:ascii="Symbol" w:hAnsi="Symbol" w:cs="Symbol" w:hint="default"/>
        <w:rFonts w:cs="Symbol"/>
        <w:lang w:val="it-IT" w:eastAsia="en-US" w:bidi="ar-SA"/>
      </w:rPr>
    </w:lvl>
    <w:lvl w:ilvl="8">
      <w:start w:val="1"/>
      <w:numFmt w:val="bullet"/>
      <w:lvlText w:val=""/>
      <w:lvlJc w:val="left"/>
      <w:pPr>
        <w:ind w:left="2424" w:hanging="270"/>
      </w:pPr>
      <w:rPr>
        <w:rFonts w:ascii="Symbol" w:hAnsi="Symbol" w:cs="Symbol" w:hint="default"/>
        <w:rFonts w:cs="Symbol"/>
        <w:lang w:val="it-IT" w:eastAsia="en-US" w:bidi="ar-SA"/>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4"/>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Calibri" w:eastAsiaTheme="minorEastAsia"/>
        <w:kern w:val="2"/>
        <w:szCs w:val="13"/>
        <w:lang w:val="it-IT" w:eastAsia="it-IT"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b4e7e"/>
    <w:pPr>
      <w:widowControl/>
      <w:suppressAutoHyphens w:val="true"/>
      <w:bidi w:val="0"/>
      <w:spacing w:before="0" w:after="0"/>
      <w:jc w:val="left"/>
    </w:pPr>
    <w:rPr>
      <w:rFonts w:ascii="Calibri" w:hAnsi="Calibri" w:eastAsia="" w:cs="Calibri" w:eastAsiaTheme="minorEastAsia"/>
      <w:color w:val="auto"/>
      <w:kern w:val="2"/>
      <w:sz w:val="13"/>
      <w:szCs w:val="13"/>
      <w:lang w:val="it-IT" w:eastAsia="it-IT"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b46a7d"/>
    <w:rPr/>
  </w:style>
  <w:style w:type="character" w:styleId="PidipaginaCarattere" w:customStyle="1">
    <w:name w:val="Piè di pagina Carattere"/>
    <w:basedOn w:val="DefaultParagraphFont"/>
    <w:link w:val="Pidipagina"/>
    <w:uiPriority w:val="99"/>
    <w:qFormat/>
    <w:rsid w:val="00b46a7d"/>
    <w:rPr/>
  </w:style>
  <w:style w:type="character" w:styleId="TestofumettoCarattere" w:customStyle="1">
    <w:name w:val="Testo fumetto Carattere"/>
    <w:basedOn w:val="DefaultParagraphFont"/>
    <w:link w:val="Testofumetto"/>
    <w:uiPriority w:val="99"/>
    <w:semiHidden/>
    <w:qFormat/>
    <w:rsid w:val="00b46a7d"/>
    <w:rPr>
      <w:rFonts w:ascii="Tahoma" w:hAnsi="Tahoma" w:cs="Tahoma"/>
      <w:sz w:val="16"/>
      <w:szCs w:val="16"/>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b46a7d"/>
    <w:pPr>
      <w:tabs>
        <w:tab w:val="clear" w:pos="709"/>
        <w:tab w:val="center" w:pos="4819" w:leader="none"/>
        <w:tab w:val="right" w:pos="9638" w:leader="none"/>
      </w:tabs>
    </w:pPr>
    <w:rPr/>
  </w:style>
  <w:style w:type="paragraph" w:styleId="Pidipagina">
    <w:name w:val="Footer"/>
    <w:basedOn w:val="Normal"/>
    <w:link w:val="PidipaginaCarattere"/>
    <w:uiPriority w:val="99"/>
    <w:unhideWhenUsed/>
    <w:rsid w:val="00b46a7d"/>
    <w:pPr>
      <w:tabs>
        <w:tab w:val="clear" w:pos="709"/>
        <w:tab w:val="center" w:pos="4819" w:leader="none"/>
        <w:tab w:val="right" w:pos="9638" w:leader="none"/>
      </w:tabs>
    </w:pPr>
    <w:rPr/>
  </w:style>
  <w:style w:type="paragraph" w:styleId="BalloonText">
    <w:name w:val="Balloon Text"/>
    <w:basedOn w:val="Normal"/>
    <w:link w:val="TestofumettoCarattere"/>
    <w:uiPriority w:val="99"/>
    <w:semiHidden/>
    <w:unhideWhenUsed/>
    <w:qFormat/>
    <w:rsid w:val="00b46a7d"/>
    <w:pPr/>
    <w:rPr>
      <w:rFonts w:ascii="Tahoma" w:hAnsi="Tahoma" w:cs="Tahoma"/>
      <w:sz w:val="16"/>
      <w:szCs w:val="16"/>
    </w:rPr>
  </w:style>
  <w:style w:type="paragraph" w:styleId="Default" w:customStyle="1">
    <w:name w:val="Default"/>
    <w:qFormat/>
    <w:rsid w:val="0098733f"/>
    <w:pPr>
      <w:widowControl/>
      <w:suppressAutoHyphens w:val="true"/>
      <w:bidi w:val="0"/>
      <w:spacing w:before="0" w:after="0"/>
      <w:jc w:val="left"/>
    </w:pPr>
    <w:rPr>
      <w:rFonts w:ascii="Times New Roman" w:hAnsi="Times New Roman" w:eastAsia="" w:cs="Times New Roman"/>
      <w:color w:val="000000"/>
      <w:kern w:val="2"/>
      <w:sz w:val="24"/>
      <w:szCs w:val="24"/>
      <w:lang w:val="it-IT" w:eastAsia="it-IT" w:bidi="ar-SA"/>
    </w:rPr>
  </w:style>
  <w:style w:type="paragraph" w:styleId="TableParagraph" w:customStyle="1">
    <w:name w:val="Table Paragraph"/>
    <w:basedOn w:val="Normal"/>
    <w:uiPriority w:val="1"/>
    <w:qFormat/>
    <w:rsid w:val="003805f7"/>
    <w:pPr>
      <w:widowControl w:val="false"/>
    </w:pPr>
    <w:rPr>
      <w:rFonts w:ascii="Cambria" w:hAnsi="Cambria" w:eastAsia="Cambria" w:cs="Cambria"/>
      <w:kern w:val="0"/>
      <w:sz w:val="22"/>
      <w:szCs w:val="22"/>
      <w:lang w:eastAsia="en-US"/>
    </w:rPr>
  </w:style>
  <w:style w:type="paragraph" w:styleId="ListParagraph">
    <w:name w:val="List Paragraph"/>
    <w:basedOn w:val="Normal"/>
    <w:uiPriority w:val="1"/>
    <w:qFormat/>
    <w:rsid w:val="00041b1b"/>
    <w:pPr>
      <w:widowControl w:val="false"/>
      <w:ind w:left="1060" w:hanging="339"/>
    </w:pPr>
    <w:rPr>
      <w:rFonts w:ascii="Cambria" w:hAnsi="Cambria" w:eastAsia="Cambria" w:cs="Cambria"/>
      <w:kern w:val="0"/>
      <w:sz w:val="22"/>
      <w:szCs w:val="22"/>
      <w:lang w:eastAsia="en-US"/>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59"/>
    <w:rsid w:val="00b46a7d"/>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TableNormal">
    <w:name w:val="Table Normal"/>
    <w:uiPriority w:val="2"/>
    <w:semiHidden/>
    <w:unhideWhenUsed/>
    <w:qFormat/>
    <w:rsid w:val="006174c9"/>
    <w:rPr>
      <w:rFonts w:asciiTheme="minorHAnsi" w:hAnsiTheme="minorHAnsi" w:eastAsiaTheme="minorHAnsi" w:cstheme="minorBidi"/>
      <w:lang w:val="en-US" w:eastAsia="en-US"/>
      <w:sz w:val="22"/>
      <w:szCs w:val="22"/>
    </w:rPr>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EF577-7830-4F7F-86AD-CC63C722A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LibreOffice/6.4.4.2$Windows_X86_64 LibreOffice_project/3d775be2011f3886db32dfd395a6a6d1ca2630ff</Application>
  <Pages>18</Pages>
  <Words>11456</Words>
  <Characters>66422</Characters>
  <CharactersWithSpaces>76829</CharactersWithSpaces>
  <Paragraphs>1265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2022-04-19T07:35:00Z</dcterms:created>
  <dc:creator>agaleone</dc:creator>
  <dc:description/>
  <dc:language>it-IT</dc:language>
  <cp:lastModifiedBy/>
  <cp:lastPrinted>2017-01-25T14:05:00Z</cp:lastPrinted>
  <dcterms:modified xsi:type="dcterms:W3CDTF">2022-05-23T14:26:56Z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