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76" w:before="0" w:after="0"/>
        <w:jc w:val="both"/>
        <w:rPr>
          <w:rFonts w:cs="Times New Roman" w:ascii="Century Gothic" w:hAnsi="Century Gothic"/>
          <w:b/>
          <w:bCs/>
        </w:rPr>
      </w:pPr>
      <w:r>
        <w:rPr>
          <w:rFonts w:cs="Times New Roman" w:ascii="Century Gothic" w:hAnsi="Century Gothic"/>
          <w:b/>
          <w:bCs/>
        </w:rPr>
        <w:t xml:space="preserve">ACCORDO TRA LA PREFETTURA DI VARESE, REGIONE LOMBARDIA, TRENORD S.R.L., </w:t>
      </w:r>
      <w:r>
        <w:rPr>
          <w:rFonts w:cs="Times New Roman" w:ascii="Century Gothic" w:hAnsi="Century Gothic"/>
          <w:b/>
          <w:color w:val="000000"/>
        </w:rPr>
        <w:t>RETE FERROVIARIA ITALIANA, FERROVIE NORD S.P.A.,</w:t>
      </w:r>
      <w:r>
        <w:rPr>
          <w:rFonts w:cs="Times New Roman" w:ascii="Century Gothic" w:hAnsi="Century Gothic"/>
          <w:b/>
          <w:bCs/>
          <w:color w:val="000000"/>
        </w:rPr>
        <w:t xml:space="preserve"> AGENZIA TRAPORTO PUBBLICO LOCALE E I COMUNI CAPOFILA DI VARESE, BUSTO ARSIZIO E GALLARATE P</w:t>
      </w:r>
      <w:r>
        <w:rPr>
          <w:rFonts w:cs="Times New Roman" w:ascii="Century Gothic" w:hAnsi="Century Gothic"/>
          <w:b/>
          <w:bCs/>
        </w:rPr>
        <w:t>ER LA PROMOZIONE DELLA SICUREZZA INTEGRATA NELLE STAZIONI FERROVIARIE DEI COMUNI</w:t>
      </w:r>
      <w:r>
        <w:rPr>
          <w:rFonts w:cs="Times New Roman" w:ascii="Century Gothic" w:hAnsi="Century Gothic"/>
          <w:b/>
          <w:bCs/>
          <w:color w:val="FF0000"/>
        </w:rPr>
        <w:t xml:space="preserve"> </w:t>
      </w:r>
      <w:r>
        <w:rPr>
          <w:rFonts w:cs="Times New Roman" w:ascii="Century Gothic" w:hAnsi="Century Gothic"/>
          <w:b/>
          <w:bCs/>
          <w:color w:val="000000"/>
        </w:rPr>
        <w:t>DELLA PROVINCIA DI VARESE ADERENTI E</w:t>
      </w:r>
      <w:r>
        <w:rPr>
          <w:rFonts w:cs="Times New Roman" w:ascii="Century Gothic" w:hAnsi="Century Gothic"/>
          <w:b/>
          <w:bCs/>
        </w:rPr>
        <w:t xml:space="preserve"> NELLE AREE PROSSIME ALLE PREDETTE STAZIONI.</w:t>
      </w:r>
    </w:p>
    <w:p>
      <w:pPr>
        <w:pStyle w:val="Normal"/>
        <w:spacing w:lineRule="auto" w:line="276" w:before="0" w:after="0"/>
        <w:jc w:val="center"/>
        <w:rPr>
          <w:rFonts w:cs="Times New Roman" w:ascii="Century Gothic" w:hAnsi="Century Gothic"/>
        </w:rPr>
      </w:pPr>
      <w:r>
        <w:rPr>
          <w:rFonts w:cs="Times New Roman" w:ascii="Century Gothic" w:hAnsi="Century Gothic"/>
        </w:rPr>
        <w:t>Tra</w:t>
      </w:r>
    </w:p>
    <w:p>
      <w:pPr>
        <w:pStyle w:val="Normal"/>
        <w:spacing w:lineRule="auto" w:line="276" w:before="0" w:after="0"/>
        <w:jc w:val="center"/>
        <w:rPr>
          <w:rFonts w:cs="Times New Roman" w:ascii="Century Gothic" w:hAnsi="Century Gothic"/>
        </w:rPr>
      </w:pPr>
      <w:r>
        <w:rPr>
          <w:rFonts w:cs="Times New Roman" w:ascii="Century Gothic" w:hAnsi="Century Gothic"/>
        </w:rPr>
      </w:r>
    </w:p>
    <w:p>
      <w:pPr>
        <w:pStyle w:val="Normal"/>
        <w:spacing w:lineRule="auto" w:line="276" w:before="0" w:after="0"/>
        <w:jc w:val="both"/>
        <w:rPr>
          <w:rFonts w:cs="Times New Roman" w:ascii="Century Gothic" w:hAnsi="Century Gothic"/>
          <w:bCs/>
          <w:vanish/>
        </w:rPr>
      </w:pPr>
      <w:r>
        <w:rPr>
          <w:rFonts w:cs="Times New Roman" w:ascii="Century Gothic" w:hAnsi="Century Gothic"/>
          <w:bCs/>
        </w:rPr>
        <w:t xml:space="preserve">La </w:t>
      </w:r>
      <w:r>
        <w:rPr>
          <w:rFonts w:cs="Times New Roman" w:ascii="Century Gothic" w:hAnsi="Century Gothic"/>
          <w:b/>
          <w:bCs/>
        </w:rPr>
        <w:t>Prefettura di Varese</w:t>
      </w:r>
      <w:r>
        <w:rPr>
          <w:rFonts w:cs="Times New Roman" w:ascii="Century Gothic" w:hAnsi="Century Gothic"/>
          <w:b/>
        </w:rPr>
        <w:t xml:space="preserve"> </w:t>
      </w:r>
      <w:r>
        <w:rPr>
          <w:rFonts w:cs="Times New Roman" w:ascii="Century Gothic" w:hAnsi="Century Gothic"/>
          <w:b/>
          <w:vanish/>
        </w:rPr>
        <w:t>- U.T.G. di Lecco</w:t>
      </w:r>
      <w:r>
        <w:rPr>
          <w:rFonts w:cs="Times New Roman" w:ascii="Century Gothic" w:hAnsi="Century Gothic"/>
          <w:vanish/>
        </w:rPr>
        <w:br/>
        <w:t>Corso Promessi Sposi, 36</w:t>
      </w:r>
      <w:r>
        <w:rPr>
          <w:rFonts w:cs="Times New Roman" w:ascii="Century Gothic" w:hAnsi="Century Gothic"/>
        </w:rPr>
        <w:t xml:space="preserve"> con sede in Piazza Libertà 1 Varese CF 80014740122, nella persona del Prefetto Salvatore Pasquariello  </w:t>
      </w:r>
      <w:r>
        <w:rPr>
          <w:rFonts w:cs="Times New Roman" w:ascii="Century Gothic" w:hAnsi="Century Gothic"/>
          <w:bCs/>
          <w:vanish/>
        </w:rPr>
        <w:br/>
      </w:r>
    </w:p>
    <w:p>
      <w:pPr>
        <w:pStyle w:val="Normal"/>
        <w:spacing w:lineRule="auto" w:line="276" w:before="0" w:after="0"/>
        <w:jc w:val="center"/>
        <w:rPr>
          <w:rFonts w:cs="Times New Roman" w:ascii="Century Gothic" w:hAnsi="Century Gothic"/>
        </w:rPr>
      </w:pPr>
      <w:r>
        <w:rPr>
          <w:rFonts w:cs="Times New Roman" w:ascii="Century Gothic" w:hAnsi="Century Gothic"/>
        </w:rPr>
        <w:t>e</w:t>
      </w:r>
    </w:p>
    <w:p>
      <w:pPr>
        <w:pStyle w:val="BodyText2"/>
        <w:spacing w:lineRule="auto" w:line="276"/>
        <w:rPr>
          <w:rFonts w:cs="Times New Roman" w:ascii="Century Gothic" w:hAnsi="Century Gothic"/>
          <w:iCs w:val="false"/>
          <w:sz w:val="22"/>
          <w:szCs w:val="22"/>
        </w:rPr>
      </w:pPr>
      <w:r>
        <w:rPr>
          <w:rFonts w:cs="Times New Roman" w:ascii="Century Gothic" w:hAnsi="Century Gothic"/>
          <w:iCs w:val="false"/>
          <w:sz w:val="22"/>
          <w:szCs w:val="22"/>
        </w:rPr>
        <w:t xml:space="preserve">La </w:t>
      </w:r>
      <w:r>
        <w:rPr>
          <w:rFonts w:cs="Times New Roman" w:ascii="Century Gothic" w:hAnsi="Century Gothic"/>
          <w:b/>
          <w:iCs w:val="false"/>
          <w:sz w:val="22"/>
          <w:szCs w:val="22"/>
        </w:rPr>
        <w:t>Regione Lombardia</w:t>
      </w:r>
      <w:r>
        <w:rPr>
          <w:rFonts w:cs="Times New Roman" w:ascii="Century Gothic" w:hAnsi="Century Gothic"/>
          <w:iCs w:val="false"/>
          <w:sz w:val="22"/>
          <w:szCs w:val="22"/>
        </w:rPr>
        <w:t xml:space="preserve"> con sede in Milano – 20124, Piazza Città di Lombardia 1, C.F. 80050050154 e Partita I.V.A. 12874720159, nella persona dell'Assessore alla Sicurezza Riccardo De Corato</w:t>
      </w:r>
    </w:p>
    <w:p>
      <w:pPr>
        <w:pStyle w:val="Normal"/>
        <w:spacing w:lineRule="auto" w:line="276" w:before="0" w:after="0"/>
        <w:jc w:val="center"/>
        <w:rPr>
          <w:rFonts w:cs="Times New Roman" w:ascii="Century Gothic" w:hAnsi="Century Gothic"/>
        </w:rPr>
      </w:pPr>
      <w:r>
        <w:rPr>
          <w:rFonts w:cs="Times New Roman" w:ascii="Century Gothic" w:hAnsi="Century Gothic"/>
        </w:rPr>
        <w:t>e</w:t>
      </w:r>
    </w:p>
    <w:p>
      <w:pPr>
        <w:pStyle w:val="Normal"/>
        <w:spacing w:lineRule="auto" w:line="276" w:before="0" w:after="0"/>
        <w:jc w:val="both"/>
        <w:rPr>
          <w:rFonts w:cs="Times New Roman" w:ascii="Century Gothic" w:hAnsi="Century Gothic"/>
        </w:rPr>
      </w:pPr>
      <w:r>
        <w:rPr>
          <w:rFonts w:cs="Times New Roman" w:ascii="Century Gothic" w:hAnsi="Century Gothic"/>
          <w:b/>
          <w:bCs/>
        </w:rPr>
        <w:t>TRENORD S.r.l</w:t>
      </w:r>
      <w:r>
        <w:rPr>
          <w:rFonts w:cs="Times New Roman" w:ascii="Century Gothic" w:hAnsi="Century Gothic"/>
          <w:bCs/>
        </w:rPr>
        <w:t>.,</w:t>
      </w:r>
      <w:r>
        <w:rPr>
          <w:rFonts w:cs="Times New Roman" w:ascii="Century Gothic" w:hAnsi="Century Gothic"/>
        </w:rPr>
        <w:t xml:space="preserve"> con sede in Milano, Piazzale Cadorna  14, CF 06705490966, ed ivi domiciliato, nella persona del Dirigente Responsabile della Funzione Security Aziendale                           </w:t>
      </w:r>
    </w:p>
    <w:p>
      <w:pPr>
        <w:pStyle w:val="Normal"/>
        <w:spacing w:lineRule="auto" w:line="276" w:before="0" w:after="0"/>
        <w:jc w:val="center"/>
        <w:rPr>
          <w:rFonts w:cs="Times New Roman" w:ascii="Century Gothic" w:hAnsi="Century Gothic"/>
        </w:rPr>
      </w:pPr>
      <w:r>
        <w:rPr>
          <w:rFonts w:cs="Times New Roman" w:ascii="Century Gothic" w:hAnsi="Century Gothic"/>
        </w:rPr>
        <w:t>e</w:t>
      </w:r>
    </w:p>
    <w:p>
      <w:pPr>
        <w:pStyle w:val="Normal"/>
        <w:spacing w:lineRule="auto" w:line="276" w:before="0" w:after="0"/>
        <w:rPr>
          <w:rFonts w:cs="Times New Roman" w:ascii="Century Gothic" w:hAnsi="Century Gothic"/>
        </w:rPr>
      </w:pPr>
      <w:r>
        <w:rPr>
          <w:rFonts w:cs="Times New Roman" w:ascii="Century Gothic" w:hAnsi="Century Gothic"/>
          <w:b/>
        </w:rPr>
        <w:t>RETE FERROVIARIA ITALIANA</w:t>
      </w:r>
      <w:r>
        <w:rPr>
          <w:rFonts w:cs="Times New Roman" w:ascii="Century Gothic" w:hAnsi="Century Gothic"/>
        </w:rPr>
        <w:t>, con sede legale in Roma, Piazza della Croce Rossa 1 - 00161 e Direzione Operativa Infrastrutture Territoriale in Milano Via Ernesto Breda, 28 -20126, CF 01585570581 e P. I.V.A.  01008081000, nella persona del ___________</w:t>
      </w:r>
    </w:p>
    <w:p>
      <w:pPr>
        <w:pStyle w:val="Normal"/>
        <w:spacing w:lineRule="auto" w:line="276" w:before="0" w:after="0"/>
        <w:jc w:val="center"/>
        <w:rPr>
          <w:rFonts w:cs="Times New Roman" w:ascii="Century Gothic" w:hAnsi="Century Gothic"/>
        </w:rPr>
      </w:pPr>
      <w:r>
        <w:rPr>
          <w:rFonts w:cs="Times New Roman" w:ascii="Century Gothic" w:hAnsi="Century Gothic"/>
        </w:rPr>
        <w:t>e</w:t>
      </w:r>
    </w:p>
    <w:p>
      <w:pPr>
        <w:pStyle w:val="Normal"/>
        <w:spacing w:lineRule="auto" w:line="276" w:before="0" w:after="0"/>
        <w:jc w:val="both"/>
        <w:rPr>
          <w:rFonts w:cs="Times New Roman" w:ascii="Century Gothic" w:hAnsi="Century Gothic"/>
        </w:rPr>
      </w:pPr>
      <w:r>
        <w:rPr>
          <w:rFonts w:cs="Times New Roman" w:ascii="Century Gothic" w:hAnsi="Century Gothic"/>
          <w:b/>
        </w:rPr>
        <w:t>FERROVIE NORD</w:t>
      </w:r>
      <w:r>
        <w:rPr>
          <w:rFonts w:cs="Times New Roman" w:ascii="Century Gothic" w:hAnsi="Century Gothic"/>
        </w:rPr>
        <w:t xml:space="preserve"> </w:t>
      </w:r>
      <w:r>
        <w:rPr>
          <w:rFonts w:cs="Times New Roman" w:ascii="Century Gothic" w:hAnsi="Century Gothic"/>
          <w:b/>
        </w:rPr>
        <w:t>S.P.A</w:t>
      </w:r>
      <w:r>
        <w:rPr>
          <w:rFonts w:cs="Times New Roman" w:ascii="Century Gothic" w:hAnsi="Century Gothic"/>
        </w:rPr>
        <w:t xml:space="preserve">., con sede in Milano, Piazzale Cadorna 14 – 20123, CF e P.I.V.A. </w:t>
      </w:r>
      <w:r>
        <w:rPr>
          <w:rFonts w:cs="Times New Roman" w:ascii="Century Gothic" w:hAnsi="Century Gothic"/>
          <w:bCs/>
        </w:rPr>
        <w:t xml:space="preserve">06757900151, </w:t>
      </w:r>
      <w:r>
        <w:rPr>
          <w:rFonts w:cs="Times New Roman" w:ascii="Century Gothic" w:hAnsi="Century Gothic"/>
        </w:rPr>
        <w:t>nella persona del ___________</w:t>
      </w:r>
    </w:p>
    <w:p>
      <w:pPr>
        <w:pStyle w:val="Normal"/>
        <w:spacing w:lineRule="auto" w:line="276" w:before="0" w:after="0"/>
        <w:jc w:val="center"/>
        <w:rPr>
          <w:rFonts w:cs="Times New Roman" w:ascii="Century Gothic" w:hAnsi="Century Gothic"/>
        </w:rPr>
      </w:pPr>
      <w:r>
        <w:rPr>
          <w:rFonts w:cs="Times New Roman" w:ascii="Century Gothic" w:hAnsi="Century Gothic"/>
        </w:rPr>
        <w:t>e</w:t>
      </w:r>
    </w:p>
    <w:p>
      <w:pPr>
        <w:pStyle w:val="Normal"/>
        <w:spacing w:lineRule="auto" w:line="276" w:before="0" w:after="0"/>
        <w:jc w:val="both"/>
        <w:rPr>
          <w:rFonts w:cs="Times New Roman" w:ascii="Century Gothic" w:hAnsi="Century Gothic"/>
        </w:rPr>
      </w:pPr>
      <w:r>
        <w:rPr>
          <w:rFonts w:cs="Times New Roman" w:ascii="Century Gothic" w:hAnsi="Century Gothic"/>
          <w:b/>
          <w:bCs/>
        </w:rPr>
        <w:t xml:space="preserve">AGENZIA PER IL TRASPORTO PUBBLICO LOCALE DEL BACINO DI COMO, LECCO E VARESE  </w:t>
      </w:r>
      <w:r>
        <w:rPr>
          <w:rFonts w:cs="Times New Roman" w:ascii="Century Gothic" w:hAnsi="Century Gothic"/>
        </w:rPr>
        <w:t>sede territoriale di Varese in Via Daverio 10 c/o Provincia di Varese CF 03638610133,                     nella persona del Presidente Daniele Colombo</w:t>
      </w:r>
    </w:p>
    <w:p>
      <w:pPr>
        <w:pStyle w:val="Normal"/>
        <w:spacing w:lineRule="auto" w:line="276" w:before="0" w:after="0"/>
        <w:jc w:val="both"/>
        <w:rPr>
          <w:rFonts w:cs="Times New Roman" w:ascii="Century Gothic" w:hAnsi="Century Gothic"/>
        </w:rPr>
      </w:pPr>
      <w:r>
        <w:rPr>
          <w:rFonts w:cs="Times New Roman" w:ascii="Century Gothic" w:hAnsi="Century Gothic"/>
        </w:rPr>
        <w:t xml:space="preserve">                                                                              </w:t>
      </w:r>
      <w:r>
        <w:rPr>
          <w:rFonts w:cs="Times New Roman" w:ascii="Century Gothic" w:hAnsi="Century Gothic"/>
        </w:rPr>
        <w:t xml:space="preserve">e </w:t>
      </w:r>
    </w:p>
    <w:p>
      <w:pPr>
        <w:pStyle w:val="Normal"/>
        <w:spacing w:lineRule="auto" w:line="276" w:before="0" w:after="0"/>
        <w:jc w:val="both"/>
        <w:rPr>
          <w:rFonts w:cs="Times New Roman" w:ascii="Century Gothic" w:hAnsi="Century Gothic"/>
        </w:rPr>
      </w:pPr>
      <w:r>
        <w:rPr>
          <w:rFonts w:cs="Times New Roman" w:ascii="Century Gothic" w:hAnsi="Century Gothic"/>
          <w:b/>
          <w:bCs/>
        </w:rPr>
        <w:t>COMUNE DI VARESE</w:t>
      </w:r>
      <w:r>
        <w:rPr>
          <w:rFonts w:cs="Times New Roman" w:ascii="Century Gothic" w:hAnsi="Century Gothic"/>
          <w:bCs/>
        </w:rPr>
        <w:t xml:space="preserve"> </w:t>
      </w:r>
      <w:r>
        <w:rPr>
          <w:rFonts w:cs="Times New Roman" w:ascii="Century Gothic" w:hAnsi="Century Gothic"/>
        </w:rPr>
        <w:t>con sede in via Luigi Sacco 5 - 21100 Varese (VA) CF e P. Iva 00441340122, nella persona del Sindaco Davide Galimberti</w:t>
      </w:r>
    </w:p>
    <w:p>
      <w:pPr>
        <w:pStyle w:val="Normal"/>
        <w:spacing w:lineRule="auto" w:line="276" w:before="0" w:after="0"/>
        <w:jc w:val="center"/>
        <w:rPr>
          <w:rFonts w:cs="Times New Roman" w:ascii="Century Gothic" w:hAnsi="Century Gothic"/>
        </w:rPr>
      </w:pPr>
      <w:r>
        <w:rPr>
          <w:rFonts w:cs="Times New Roman" w:ascii="Century Gothic" w:hAnsi="Century Gothic"/>
        </w:rPr>
        <w:t>e</w:t>
      </w:r>
    </w:p>
    <w:p>
      <w:pPr>
        <w:pStyle w:val="Normal"/>
        <w:spacing w:lineRule="auto" w:line="276" w:before="0" w:after="0"/>
        <w:jc w:val="both"/>
        <w:rPr>
          <w:rFonts w:cs="Times New Roman" w:ascii="Century Gothic" w:hAnsi="Century Gothic"/>
        </w:rPr>
      </w:pPr>
      <w:r>
        <w:rPr>
          <w:rFonts w:cs="Times New Roman" w:ascii="Century Gothic" w:hAnsi="Century Gothic"/>
          <w:b/>
          <w:bCs/>
        </w:rPr>
        <w:t>COMUNE DI BUSTO ARSIZIO</w:t>
      </w:r>
      <w:r>
        <w:rPr>
          <w:rFonts w:cs="Times New Roman" w:ascii="Century Gothic" w:hAnsi="Century Gothic"/>
          <w:bCs/>
        </w:rPr>
        <w:t xml:space="preserve"> </w:t>
      </w:r>
      <w:r>
        <w:rPr>
          <w:rFonts w:cs="Times New Roman" w:ascii="Century Gothic" w:hAnsi="Century Gothic"/>
        </w:rPr>
        <w:t>con sede in via Fratelli d'Italia  12 - 21052  Busto Arsizio (VA)   CF e P. Iva 00224000125, nella persona del Sindaco Emanuele Antonelli</w:t>
      </w:r>
    </w:p>
    <w:p>
      <w:pPr>
        <w:pStyle w:val="Normal"/>
        <w:spacing w:lineRule="auto" w:line="276" w:before="0" w:after="0"/>
        <w:jc w:val="center"/>
        <w:rPr>
          <w:rFonts w:cs="Times New Roman" w:ascii="Century Gothic" w:hAnsi="Century Gothic"/>
        </w:rPr>
      </w:pPr>
      <w:r>
        <w:rPr>
          <w:rFonts w:cs="Times New Roman" w:ascii="Century Gothic" w:hAnsi="Century Gothic"/>
        </w:rPr>
        <w:t>e</w:t>
      </w:r>
    </w:p>
    <w:p>
      <w:pPr>
        <w:pStyle w:val="Normal"/>
        <w:spacing w:lineRule="auto" w:line="276" w:before="0" w:after="0"/>
        <w:jc w:val="both"/>
        <w:rPr>
          <w:rFonts w:cs="Times New Roman" w:ascii="Century Gothic" w:hAnsi="Century Gothic"/>
        </w:rPr>
      </w:pPr>
      <w:r>
        <w:rPr>
          <w:rFonts w:cs="Times New Roman" w:ascii="Century Gothic" w:hAnsi="Century Gothic"/>
          <w:b/>
          <w:bCs/>
        </w:rPr>
        <w:t xml:space="preserve">COMUNE DI GALLARATE </w:t>
      </w:r>
      <w:r>
        <w:rPr>
          <w:rFonts w:cs="Times New Roman" w:ascii="Century Gothic" w:hAnsi="Century Gothic"/>
        </w:rPr>
        <w:t>con sede in via Verdi 2 – 21013 Gallarate (VA)  CF e P. Iva 00560180127, nella persona del Sindaco Andrea Cassani</w:t>
      </w:r>
    </w:p>
    <w:p>
      <w:pPr>
        <w:pStyle w:val="Normal"/>
        <w:spacing w:lineRule="auto" w:line="276" w:before="0" w:after="0"/>
        <w:rPr>
          <w:rFonts w:cs="Times New Roman" w:ascii="Century Gothic" w:hAnsi="Century Gothic"/>
          <w:bCs/>
        </w:rPr>
      </w:pPr>
      <w:r>
        <w:rPr>
          <w:rFonts w:cs="Times New Roman" w:ascii="Century Gothic" w:hAnsi="Century Gothic"/>
          <w:bCs/>
        </w:rPr>
      </w:r>
    </w:p>
    <w:p>
      <w:pPr>
        <w:pStyle w:val="Normal"/>
        <w:spacing w:lineRule="auto" w:line="276" w:before="0" w:after="0"/>
        <w:jc w:val="center"/>
        <w:rPr>
          <w:rFonts w:cs="Times New Roman" w:ascii="Century Gothic" w:hAnsi="Century Gothic"/>
          <w:bCs/>
        </w:rPr>
      </w:pPr>
      <w:r>
        <w:rPr>
          <w:rFonts w:cs="Times New Roman" w:ascii="Century Gothic" w:hAnsi="Century Gothic"/>
          <w:bCs/>
        </w:rPr>
        <w:t>e</w:t>
      </w:r>
    </w:p>
    <w:p>
      <w:pPr>
        <w:pStyle w:val="Normal"/>
        <w:spacing w:lineRule="auto" w:line="276" w:before="0" w:after="0"/>
        <w:jc w:val="both"/>
        <w:rPr>
          <w:rFonts w:cs="Times New Roman" w:ascii="Century Gothic" w:hAnsi="Century Gothic"/>
          <w:b/>
          <w:bCs/>
          <w:color w:val="000000"/>
        </w:rPr>
      </w:pPr>
      <w:bookmarkStart w:id="0" w:name="__DdeLink__614_3479256885"/>
      <w:r>
        <w:rPr>
          <w:rFonts w:cs="Times New Roman" w:ascii="Century Gothic" w:hAnsi="Century Gothic"/>
          <w:b/>
          <w:bCs/>
          <w:color w:val="000000"/>
        </w:rPr>
        <w:t>I Comuni della provincia di Varese sul cui territorio si trovi una stazione ferroviaria o che comunque aderiscano per partecipare con proprio personale all’espletamento dei servizi di polizia locale nei comuni sede di stazione ferroviaria</w:t>
      </w:r>
      <w:bookmarkEnd w:id="0"/>
      <w:r>
        <w:rPr>
          <w:rFonts w:cs="Times New Roman" w:ascii="Century Gothic" w:hAnsi="Century Gothic"/>
          <w:b/>
          <w:bCs/>
          <w:color w:val="FF0000"/>
        </w:rPr>
        <w:t xml:space="preserve"> </w:t>
      </w:r>
      <w:r>
        <w:rPr>
          <w:rFonts w:cs="Times New Roman" w:ascii="Century Gothic" w:hAnsi="Century Gothic"/>
          <w:b/>
          <w:bCs/>
          <w:color w:val="000000"/>
        </w:rPr>
        <w:t>ed in particolare i Comuni di:</w:t>
      </w:r>
    </w:p>
    <w:p>
      <w:pPr>
        <w:pStyle w:val="Normal"/>
        <w:spacing w:lineRule="auto" w:line="276" w:before="0" w:after="0"/>
        <w:rPr>
          <w:rFonts w:cs="Times New Roman" w:ascii="Century Gothic" w:hAnsi="Century Gothic"/>
        </w:rPr>
      </w:pPr>
      <w:r>
        <w:rPr>
          <w:rFonts w:cs="Times New Roman" w:ascii="Century Gothic" w:hAnsi="Century Gothic"/>
        </w:rPr>
      </w:r>
    </w:p>
    <w:p>
      <w:pPr>
        <w:pStyle w:val="Normal"/>
        <w:spacing w:lineRule="auto" w:line="240" w:before="0" w:after="0"/>
        <w:rPr>
          <w:rFonts w:cs="Times New Roman" w:ascii="Century Gothic" w:hAnsi="Century Gothic"/>
        </w:rPr>
      </w:pPr>
      <w:r>
        <w:rPr>
          <w:rFonts w:cs="Times New Roman" w:ascii="Century Gothic" w:hAnsi="Century Gothic"/>
        </w:rPr>
        <w:t>nelle persone dei rispettivi rappresentanti legali;</w:t>
      </w:r>
    </w:p>
    <w:p>
      <w:pPr>
        <w:pStyle w:val="Normal"/>
        <w:tabs>
          <w:tab w:val="left" w:pos="4064" w:leader="none"/>
        </w:tabs>
        <w:spacing w:lineRule="auto" w:line="276" w:before="0" w:after="0"/>
        <w:rPr>
          <w:rFonts w:cs="Times New Roman" w:ascii="Century Gothic" w:hAnsi="Century Gothic"/>
        </w:rPr>
      </w:pPr>
      <w:r>
        <w:rPr>
          <w:rFonts w:cs="Times New Roman" w:ascii="Century Gothic" w:hAnsi="Century Gothic"/>
        </w:rPr>
      </w:r>
    </w:p>
    <w:p>
      <w:pPr>
        <w:pStyle w:val="Titolo11"/>
        <w:spacing w:lineRule="auto" w:line="276"/>
        <w:rPr>
          <w:rFonts w:eastAsia="Calibri" w:cs="Times New Roman" w:ascii="Century Gothic" w:hAnsi="Century Gothic"/>
          <w:b/>
          <w:bCs/>
          <w:sz w:val="22"/>
          <w:szCs w:val="22"/>
          <w:lang w:eastAsia="en-US"/>
        </w:rPr>
      </w:pPr>
      <w:r>
        <w:rPr>
          <w:rFonts w:eastAsia="Calibri" w:cs="Times New Roman" w:ascii="Century Gothic" w:hAnsi="Century Gothic"/>
          <w:b/>
          <w:bCs/>
          <w:sz w:val="22"/>
          <w:szCs w:val="22"/>
          <w:lang w:eastAsia="en-US"/>
        </w:rPr>
        <w:t>PREMESSO CHE</w:t>
      </w:r>
    </w:p>
    <w:p>
      <w:pPr>
        <w:pStyle w:val="Normal"/>
        <w:spacing w:lineRule="auto" w:line="276" w:before="0" w:after="0"/>
        <w:rPr>
          <w:rFonts w:cs="Times New Roman" w:ascii="Century Gothic" w:hAnsi="Century Gothic"/>
          <w:lang w:eastAsia="it-IT"/>
        </w:rPr>
      </w:pPr>
      <w:r>
        <w:rPr>
          <w:rFonts w:cs="Times New Roman" w:ascii="Century Gothic" w:hAnsi="Century Gothic"/>
          <w:lang w:eastAsia="it-IT"/>
        </w:rPr>
      </w:r>
    </w:p>
    <w:p>
      <w:pPr>
        <w:pStyle w:val="ListParagraph"/>
        <w:numPr>
          <w:ilvl w:val="3"/>
          <w:numId w:val="1"/>
        </w:numPr>
        <w:spacing w:lineRule="auto" w:line="276" w:before="0" w:after="0"/>
        <w:ind w:left="709" w:right="0" w:hanging="360"/>
        <w:contextualSpacing/>
        <w:jc w:val="both"/>
        <w:rPr>
          <w:rFonts w:cs="Times New Roman" w:ascii="Century Gothic" w:hAnsi="Century Gothic"/>
          <w:bCs/>
        </w:rPr>
      </w:pPr>
      <w:r>
        <w:rPr>
          <w:rFonts w:cs="Times New Roman" w:ascii="Century Gothic" w:hAnsi="Century Gothic"/>
          <w:bCs/>
        </w:rPr>
        <w:t>il decreto del Ministro dell’interno 15 agosto 2017, recante la «</w:t>
      </w:r>
      <w:r>
        <w:rPr>
          <w:rFonts w:cs="Times New Roman" w:ascii="Century Gothic" w:hAnsi="Century Gothic"/>
          <w:bCs/>
          <w:i/>
        </w:rPr>
        <w:t>Direttiva sui comparti di specialità delle forze di polizia e sulla razionalizzazione dei presidi di polizia</w:t>
      </w:r>
      <w:r>
        <w:rPr>
          <w:rFonts w:cs="Times New Roman" w:ascii="Century Gothic" w:hAnsi="Century Gothic"/>
          <w:bCs/>
        </w:rPr>
        <w:t>», prevede che, nel comparto della “sicurezza ferroviaria”, la Specialità della Polizia ferroviaria della Polizia di Stato costituisce il punto di raccordo sia informativo che operativo per le altre Forze di polizia, con la precisazione che alla Polizia ferroviaria:</w:t>
      </w:r>
    </w:p>
    <w:p>
      <w:pPr>
        <w:pStyle w:val="ListParagraph"/>
        <w:numPr>
          <w:ilvl w:val="3"/>
          <w:numId w:val="13"/>
        </w:numPr>
        <w:spacing w:lineRule="auto" w:line="276" w:before="0" w:after="0"/>
        <w:ind w:left="993" w:right="0" w:hanging="360"/>
        <w:contextualSpacing/>
        <w:jc w:val="both"/>
        <w:rPr>
          <w:rFonts w:cs="Times New Roman" w:ascii="Century Gothic" w:hAnsi="Century Gothic"/>
          <w:bCs/>
        </w:rPr>
      </w:pPr>
      <w:r>
        <w:rPr>
          <w:rFonts w:cs="Times New Roman" w:ascii="Century Gothic" w:hAnsi="Century Gothic"/>
          <w:bCs/>
        </w:rPr>
        <w:t xml:space="preserve">è affidato, in via esclusiva, l’espletamento di tutti i compiti di Polizia ferroviaria riguardanti la vigilanza </w:t>
      </w:r>
      <w:bookmarkStart w:id="1" w:name="_Hlk66986798"/>
      <w:r>
        <w:rPr>
          <w:rFonts w:cs="Times New Roman" w:ascii="Century Gothic" w:hAnsi="Century Gothic"/>
          <w:bCs/>
        </w:rPr>
        <w:t>degli impianti, delle infrastrutture, della rete e del materiale rotabile</w:t>
      </w:r>
      <w:bookmarkEnd w:id="1"/>
      <w:r>
        <w:rPr>
          <w:rFonts w:cs="Times New Roman" w:ascii="Century Gothic" w:hAnsi="Century Gothic"/>
          <w:bCs/>
        </w:rPr>
        <w:t xml:space="preserve">, nonché le altre attività volte ad assicurare la sicurezza della circolazione dei convogli e l’integrità degli utenti e delle merci, inclusi </w:t>
      </w:r>
      <w:bookmarkStart w:id="2" w:name="_Hlk66986726"/>
      <w:r>
        <w:rPr>
          <w:rFonts w:cs="Times New Roman" w:ascii="Century Gothic" w:hAnsi="Century Gothic"/>
          <w:bCs/>
        </w:rPr>
        <w:t>i servizi di vigilanza “a bordo treno”</w:t>
      </w:r>
      <w:bookmarkEnd w:id="2"/>
      <w:r>
        <w:rPr>
          <w:rFonts w:cs="Times New Roman" w:ascii="Century Gothic" w:hAnsi="Century Gothic"/>
          <w:bCs/>
        </w:rPr>
        <w:t>;</w:t>
      </w:r>
    </w:p>
    <w:p>
      <w:pPr>
        <w:pStyle w:val="ListParagraph"/>
        <w:numPr>
          <w:ilvl w:val="3"/>
          <w:numId w:val="13"/>
        </w:numPr>
        <w:spacing w:lineRule="auto" w:line="276" w:before="0" w:after="0"/>
        <w:ind w:left="993" w:right="0" w:hanging="360"/>
        <w:contextualSpacing/>
        <w:jc w:val="both"/>
        <w:rPr>
          <w:rFonts w:cs="Times New Roman" w:ascii="Century Gothic" w:hAnsi="Century Gothic"/>
          <w:bCs/>
        </w:rPr>
      </w:pPr>
      <w:r>
        <w:rPr>
          <w:rFonts w:cs="Times New Roman" w:ascii="Century Gothic" w:hAnsi="Century Gothic"/>
          <w:bCs/>
        </w:rPr>
        <w:t xml:space="preserve">è affidato, in via preminente, lo svolgimento dei servizi di Polizia ferroviaria riconducibili all’attività di prevenzione generali e di tutela dell’ordine e sicurezza pubblica espletati nelle stazioni, cui provvede ove è presente un proprio presidio, con l’eventuale concorso di altri uffici o reparti della Polizia di Stato e dell’Arma dei Carabinieri quando vi siano particolari esigenze di prevenzione dei reati e di tutela dell’ordine pubblico. Nelle stazioni non presidiate, detti servizi sono svolti dalla </w:t>
      </w:r>
      <w:bookmarkStart w:id="3" w:name="_Hlk66984203"/>
      <w:r>
        <w:rPr>
          <w:rFonts w:cs="Times New Roman" w:ascii="Century Gothic" w:hAnsi="Century Gothic"/>
          <w:bCs/>
        </w:rPr>
        <w:t>Polizia di Stato e dall’Arma dei Carabinieri</w:t>
      </w:r>
      <w:bookmarkEnd w:id="3"/>
      <w:r>
        <w:rPr>
          <w:rFonts w:cs="Times New Roman" w:ascii="Century Gothic" w:hAnsi="Century Gothic"/>
          <w:bCs/>
        </w:rPr>
        <w:t>, in funzione della dislocazione dei reparti sul territorio e avuto riguardo ai piani coordinati di controllo del territorio;</w:t>
      </w:r>
    </w:p>
    <w:p>
      <w:pPr>
        <w:pStyle w:val="ListParagraph"/>
        <w:numPr>
          <w:ilvl w:val="3"/>
          <w:numId w:val="1"/>
        </w:numPr>
        <w:spacing w:lineRule="auto" w:line="276" w:before="0" w:after="0"/>
        <w:ind w:left="709" w:right="0" w:hanging="360"/>
        <w:contextualSpacing/>
        <w:jc w:val="both"/>
        <w:rPr>
          <w:rFonts w:cs="Times New Roman" w:ascii="Century Gothic" w:hAnsi="Century Gothic"/>
        </w:rPr>
      </w:pPr>
      <w:r>
        <w:rPr>
          <w:rFonts w:cs="Times New Roman" w:ascii="Century Gothic" w:hAnsi="Century Gothic"/>
        </w:rPr>
        <w:t>la legge regionale 1° aprile 2015, n. 6 "</w:t>
      </w:r>
      <w:r>
        <w:rPr>
          <w:rFonts w:cs="Times New Roman" w:ascii="Century Gothic" w:hAnsi="Century Gothic"/>
          <w:i/>
        </w:rPr>
        <w:t>Disciplina regionale dei servizi di polizia locale e promozione di politiche integrate di sicurezza urbana</w:t>
      </w:r>
      <w:r>
        <w:rPr>
          <w:rFonts w:cs="Times New Roman" w:ascii="Century Gothic" w:hAnsi="Century Gothic"/>
        </w:rPr>
        <w:t>" prevede in particolare:</w:t>
      </w:r>
    </w:p>
    <w:p>
      <w:pPr>
        <w:pStyle w:val="ListParagraph"/>
        <w:numPr>
          <w:ilvl w:val="0"/>
          <w:numId w:val="2"/>
        </w:numPr>
        <w:spacing w:lineRule="auto" w:line="276" w:before="0" w:after="0"/>
        <w:ind w:left="993" w:right="0" w:hanging="360"/>
        <w:contextualSpacing/>
        <w:jc w:val="both"/>
        <w:rPr>
          <w:rFonts w:cs="Times New Roman" w:ascii="Century Gothic" w:hAnsi="Century Gothic"/>
        </w:rPr>
      </w:pPr>
      <w:r>
        <w:rPr>
          <w:rFonts w:cs="Times New Roman" w:ascii="Century Gothic" w:hAnsi="Century Gothic"/>
        </w:rPr>
        <w:t>all’art. 1, comma 3, l’attribuzione alla Regione della promozione del coordinamento tra i servizi di polizia locale, in armonia con la normativa quadro in materia di polizia locale e nel rispetto dell’autonomia organizzativa dell’Ente locale da cui dipende il personale, per l’erogazione di servizi più efficaci ed efficienti a vantaggio del territorio e della cittadinanza;</w:t>
      </w:r>
    </w:p>
    <w:p>
      <w:pPr>
        <w:pStyle w:val="ListParagraph"/>
        <w:numPr>
          <w:ilvl w:val="0"/>
          <w:numId w:val="2"/>
        </w:numPr>
        <w:spacing w:lineRule="auto" w:line="276" w:before="0" w:after="0"/>
        <w:ind w:left="993" w:right="0" w:hanging="360"/>
        <w:contextualSpacing/>
        <w:jc w:val="both"/>
        <w:rPr>
          <w:rFonts w:cs="Times New Roman" w:ascii="Century Gothic" w:hAnsi="Century Gothic"/>
        </w:rPr>
      </w:pPr>
      <w:r>
        <w:rPr>
          <w:rFonts w:cs="Times New Roman" w:ascii="Century Gothic" w:hAnsi="Century Gothic"/>
        </w:rPr>
        <w:t>all’art. 3, comma 1, lett. a), la promozione, da parte della Regione, della collaborazione istituzionale con gli Enti locali, territoriali e statali, mediante la stipulazione di accordi, in modo da assicurare, nel rispetto delle competenze di ciascun soggetto, efficaci interventi di sicurezza urbana, polizia amministrativa, tutela ambientale, sicurezza stradale e protezione civile sull’intero territorio;</w:t>
      </w:r>
    </w:p>
    <w:p>
      <w:pPr>
        <w:pStyle w:val="ListParagraph"/>
        <w:numPr>
          <w:ilvl w:val="0"/>
          <w:numId w:val="2"/>
        </w:numPr>
        <w:spacing w:lineRule="auto" w:line="276" w:before="0" w:after="0"/>
        <w:ind w:left="993" w:right="0" w:hanging="360"/>
        <w:contextualSpacing/>
        <w:jc w:val="both"/>
        <w:rPr>
          <w:rFonts w:cs="Times New Roman" w:ascii="Century Gothic" w:hAnsi="Century Gothic"/>
        </w:rPr>
      </w:pPr>
      <w:r>
        <w:rPr>
          <w:rFonts w:cs="Times New Roman" w:ascii="Century Gothic" w:hAnsi="Century Gothic"/>
        </w:rPr>
        <w:t>all’art. 5, comma 1, lett. a), la promozione e il sostegno, da parte della Regione, anche con strumenti finanziari, della realizzazione dei progetti per la sicurezza urbana;</w:t>
      </w:r>
    </w:p>
    <w:p>
      <w:pPr>
        <w:pStyle w:val="ListParagraph"/>
        <w:numPr>
          <w:ilvl w:val="0"/>
          <w:numId w:val="2"/>
        </w:numPr>
        <w:spacing w:lineRule="auto" w:line="276" w:before="0" w:after="0"/>
        <w:ind w:left="993" w:right="0" w:hanging="360"/>
        <w:contextualSpacing/>
        <w:jc w:val="both"/>
        <w:rPr>
          <w:rFonts w:cs="Times New Roman" w:ascii="Century Gothic" w:hAnsi="Century Gothic"/>
        </w:rPr>
      </w:pPr>
      <w:r>
        <w:rPr>
          <w:rFonts w:cs="Times New Roman" w:ascii="Century Gothic" w:hAnsi="Century Gothic"/>
        </w:rPr>
        <w:t xml:space="preserve">all’art. 28, il riconoscimento del volontariato come espressione di solidarietà sociale e la possibilità, per gli enti locali, di stipulare convenzioni con le relative associazioni, al fine di sviluppare collaborazioni con l’ente locale e in particolare con i servizi di polizia locale, in modo da contribuire al miglioramento della qualità della vita; </w:t>
      </w:r>
    </w:p>
    <w:p>
      <w:pPr>
        <w:pStyle w:val="ListParagraph"/>
        <w:numPr>
          <w:ilvl w:val="3"/>
          <w:numId w:val="1"/>
        </w:numPr>
        <w:spacing w:lineRule="auto" w:line="276" w:before="0" w:after="0"/>
        <w:ind w:left="709" w:right="0" w:hanging="360"/>
        <w:contextualSpacing/>
        <w:jc w:val="both"/>
        <w:rPr>
          <w:rFonts w:cs="Times New Roman" w:ascii="Century Gothic" w:hAnsi="Century Gothic"/>
        </w:rPr>
      </w:pPr>
      <w:r>
        <w:rPr>
          <w:rFonts w:cs="Times New Roman" w:ascii="Century Gothic" w:hAnsi="Century Gothic"/>
        </w:rPr>
        <w:t>in data 29 aprile 2019, il Ministero dell’Interno, Regione Lombardia e ANCI Lombardia hanno sottoscritto l’</w:t>
      </w:r>
      <w:r>
        <w:rPr>
          <w:rFonts w:cs="Times New Roman" w:ascii="Century Gothic" w:hAnsi="Century Gothic"/>
          <w:i/>
          <w:iCs/>
        </w:rPr>
        <w:t>Accordo per la promozione della sicurezza integrata,</w:t>
      </w:r>
      <w:r>
        <w:rPr>
          <w:rFonts w:cs="Times New Roman" w:ascii="Century Gothic" w:hAnsi="Century Gothic"/>
        </w:rPr>
        <w:t xml:space="preserve"> di durata triennale, finalizzato all’individuazione di progetti e modalità operative per la promozione della sicurezza integrata, da realizzare nel rispetto e nell’ambito delle attribuzioni di ciascun Ente, che, tra l’altro, prevede:</w:t>
      </w:r>
    </w:p>
    <w:p>
      <w:pPr>
        <w:pStyle w:val="ListParagraph"/>
        <w:numPr>
          <w:ilvl w:val="0"/>
          <w:numId w:val="2"/>
        </w:numPr>
        <w:spacing w:lineRule="auto" w:line="276" w:before="0" w:after="0"/>
        <w:ind w:left="993" w:right="0" w:hanging="360"/>
        <w:contextualSpacing/>
        <w:jc w:val="both"/>
        <w:rPr>
          <w:rFonts w:cs="Times New Roman" w:ascii="Century Gothic" w:hAnsi="Century Gothic"/>
          <w:i/>
          <w:iCs/>
        </w:rPr>
      </w:pPr>
      <w:r>
        <w:rPr>
          <w:rFonts w:cs="Times New Roman" w:ascii="Century Gothic" w:hAnsi="Century Gothic"/>
        </w:rPr>
        <w:t>al comma 2 dell’art. 8 (Collaborazioni interforze), che ‘</w:t>
      </w:r>
      <w:r>
        <w:rPr>
          <w:rFonts w:cs="Times New Roman" w:ascii="Century Gothic" w:hAnsi="Century Gothic"/>
          <w:i/>
          <w:iCs/>
        </w:rPr>
        <w:t>Per specifiche esigenze di prevenzione e contrasto della criminalità, potranno essere sviluppate collaborazioni per l’impiego di Forze dell’Ordine e Polizia locale e, previo accordo con i Ministeri dell’Interno e della Difesa, anche dalle Forze Armate, per le attività previste dalla normativa delle aree metropolitane, in particolare presso la città di Milano, e / o comunque in aree densamente popolate. Potranno essere altresì valutati interventi mirati di prevenzione e di tutela della sicurezza del trasporto pubblico locale’;</w:t>
      </w:r>
    </w:p>
    <w:p>
      <w:pPr>
        <w:pStyle w:val="ListParagraph"/>
        <w:numPr>
          <w:ilvl w:val="0"/>
          <w:numId w:val="2"/>
        </w:numPr>
        <w:spacing w:lineRule="auto" w:line="276" w:before="0" w:after="0"/>
        <w:ind w:left="993" w:right="0" w:hanging="360"/>
        <w:contextualSpacing/>
        <w:jc w:val="both"/>
        <w:rPr>
          <w:rFonts w:cs="Times New Roman" w:ascii="Century Gothic" w:hAnsi="Century Gothic"/>
        </w:rPr>
      </w:pPr>
      <w:r>
        <w:rPr>
          <w:rFonts w:cs="Times New Roman" w:ascii="Century Gothic" w:hAnsi="Century Gothic"/>
        </w:rPr>
        <w:t>al comma 2 dell’art. 15 (Attuazione dell’accordo), che ‘</w:t>
      </w:r>
      <w:r>
        <w:rPr>
          <w:rFonts w:cs="Times New Roman" w:ascii="Century Gothic" w:hAnsi="Century Gothic"/>
          <w:i/>
          <w:iCs/>
        </w:rPr>
        <w:t>La Regione attiva apposite forme di contribuzione logistica, strumentale o finanziaria da destinarsi all’attuazione dei programmi previsti dal presente accordo ovvero a progettualità straordinarie destinate al rafforzamento delle condizioni di sicurezza dei cittadini, nei termini e secondo le modalità di cui all’art. 1, comma 439, della legge 27 dicembre 2006, n. 296.’</w:t>
      </w:r>
      <w:r>
        <w:rPr>
          <w:rFonts w:cs="Times New Roman" w:ascii="Century Gothic" w:hAnsi="Century Gothic"/>
        </w:rPr>
        <w:t>;</w:t>
      </w:r>
    </w:p>
    <w:p>
      <w:pPr>
        <w:pStyle w:val="ListParagraph"/>
        <w:numPr>
          <w:ilvl w:val="0"/>
          <w:numId w:val="2"/>
        </w:numPr>
        <w:spacing w:lineRule="auto" w:line="276" w:before="0" w:after="0"/>
        <w:ind w:left="993" w:right="0" w:hanging="360"/>
        <w:contextualSpacing/>
        <w:jc w:val="both"/>
        <w:rPr>
          <w:rFonts w:cs="Times New Roman" w:ascii="Century Gothic" w:hAnsi="Century Gothic"/>
        </w:rPr>
      </w:pPr>
      <w:r>
        <w:rPr>
          <w:rFonts w:cs="Times New Roman" w:ascii="Century Gothic" w:hAnsi="Century Gothic"/>
        </w:rPr>
        <w:t>al comma 2 dell’art. 19 (Modifiche), che ‘</w:t>
      </w:r>
      <w:r>
        <w:rPr>
          <w:rFonts w:cs="Times New Roman" w:ascii="Century Gothic" w:hAnsi="Century Gothic"/>
          <w:i/>
          <w:iCs/>
        </w:rPr>
        <w:t>Le Parti potranno congiuntamente valutare la possibilità di stipulare successivi accordi, anche con altre Amministrazioni centrali o periferiche dello Stato, con enti locali e, eventualmente, con soggetti pubblici o privati, volti alla definizione di programmi operativi e alla allocazione di risorse in materia di sicurezza urbana e territoriale, come pure la partecipazione ad iniziative a carattere europeo o internazionale, funzionali alla realizzazione degli obiettivi di cui al presente accordo.’</w:t>
      </w:r>
      <w:r>
        <w:rPr>
          <w:rFonts w:cs="Times New Roman" w:ascii="Century Gothic" w:hAnsi="Century Gothic"/>
        </w:rPr>
        <w:t>;</w:t>
      </w:r>
    </w:p>
    <w:p>
      <w:pPr>
        <w:pStyle w:val="ListParagraph"/>
        <w:numPr>
          <w:ilvl w:val="3"/>
          <w:numId w:val="1"/>
        </w:numPr>
        <w:spacing w:lineRule="auto" w:line="276" w:before="0" w:after="0"/>
        <w:ind w:left="709" w:right="0" w:hanging="360"/>
        <w:contextualSpacing/>
        <w:jc w:val="both"/>
        <w:rPr>
          <w:rFonts w:cs="Times New Roman" w:ascii="Century Gothic" w:hAnsi="Century Gothic"/>
        </w:rPr>
      </w:pPr>
      <w:r>
        <w:rPr>
          <w:rFonts w:cs="Times New Roman" w:ascii="Century Gothic" w:hAnsi="Century Gothic"/>
        </w:rPr>
        <w:t>la Prefettura di Lecco, la Regione Lombardia, la Provincia di Lecco, il Comune di Lecco e  diversi Comuni della Provincia di Lecco, nel corso dell’anno 2021, hanno sottoscritto il “</w:t>
      </w:r>
      <w:r>
        <w:rPr>
          <w:rFonts w:cs="Times New Roman" w:ascii="Century Gothic" w:hAnsi="Century Gothic"/>
          <w:i/>
        </w:rPr>
        <w:t>Patto per la Sicurezza</w:t>
      </w:r>
      <w:r>
        <w:rPr>
          <w:rFonts w:cs="Times New Roman" w:ascii="Century Gothic" w:hAnsi="Century Gothic"/>
        </w:rPr>
        <w:t>”, con il quale le Parti, ciascuna in relazione alle proprie competenze e attribuzioni, si impegnano ad incrementare la promozione di azioni coordinate e integrate, volte a garantire le migliori condizioni di sicurezza e vivibilità nei rispettivi territori, in particolare, mediante la verifica e il monitoraggio delle aree di maggior degrado urbano e la condivisione di percorsi finalizzati alla riqualificazione dei medesimi;</w:t>
      </w:r>
    </w:p>
    <w:p>
      <w:pPr>
        <w:pStyle w:val="ListParagraph"/>
        <w:spacing w:lineRule="auto" w:line="276" w:before="0" w:after="0"/>
        <w:contextualSpacing/>
        <w:jc w:val="center"/>
        <w:rPr>
          <w:rFonts w:cs="Times New Roman" w:ascii="Century Gothic" w:hAnsi="Century Gothic"/>
          <w:bCs/>
        </w:rPr>
      </w:pPr>
      <w:r>
        <w:rPr>
          <w:rFonts w:cs="Times New Roman" w:ascii="Century Gothic" w:hAnsi="Century Gothic"/>
          <w:bCs/>
        </w:rPr>
      </w:r>
    </w:p>
    <w:p>
      <w:pPr>
        <w:pStyle w:val="ListParagraph"/>
        <w:spacing w:lineRule="auto" w:line="276" w:before="0" w:after="0"/>
        <w:contextualSpacing/>
        <w:jc w:val="center"/>
        <w:rPr>
          <w:rFonts w:cs="Times New Roman" w:ascii="Century Gothic" w:hAnsi="Century Gothic"/>
          <w:b/>
          <w:bCs/>
        </w:rPr>
      </w:pPr>
      <w:r>
        <w:rPr>
          <w:rFonts w:cs="Times New Roman" w:ascii="Century Gothic" w:hAnsi="Century Gothic"/>
          <w:b/>
          <w:bCs/>
        </w:rPr>
        <w:t>CONSIDERATO CHE</w:t>
      </w:r>
    </w:p>
    <w:p>
      <w:pPr>
        <w:pStyle w:val="ListParagraph"/>
        <w:numPr>
          <w:ilvl w:val="3"/>
          <w:numId w:val="1"/>
        </w:numPr>
        <w:spacing w:lineRule="auto" w:line="276" w:before="0" w:after="0"/>
        <w:ind w:left="709" w:right="0" w:hanging="360"/>
        <w:contextualSpacing/>
        <w:jc w:val="both"/>
        <w:rPr>
          <w:rFonts w:cs="Times New Roman" w:ascii="Century Gothic" w:hAnsi="Century Gothic"/>
        </w:rPr>
      </w:pPr>
      <w:r>
        <w:rPr>
          <w:rFonts w:cs="Times New Roman" w:ascii="Century Gothic" w:hAnsi="Century Gothic"/>
        </w:rPr>
        <w:t xml:space="preserve">i gestori del Trasporto Pubblico Locale, le associazioni dei passeggeri e i mezzi di comunicazione segnalano, da tempo, problemi afferenti alla sicurezza, in particolare sui treni, sugli autobus di linea e nelle aree limitrofe alle stazioni, soprattutto nelle ore serali; </w:t>
      </w:r>
    </w:p>
    <w:p>
      <w:pPr>
        <w:pStyle w:val="ListParagraph"/>
        <w:numPr>
          <w:ilvl w:val="3"/>
          <w:numId w:val="1"/>
        </w:numPr>
        <w:spacing w:lineRule="auto" w:line="276" w:before="0" w:after="0"/>
        <w:ind w:left="709" w:right="0" w:hanging="360"/>
        <w:contextualSpacing/>
        <w:jc w:val="both"/>
        <w:rPr>
          <w:rFonts w:cs="Times New Roman" w:ascii="Century Gothic" w:hAnsi="Century Gothic"/>
        </w:rPr>
      </w:pPr>
      <w:r>
        <w:rPr>
          <w:rFonts w:cs="Times New Roman" w:ascii="Century Gothic" w:hAnsi="Century Gothic"/>
        </w:rPr>
        <w:t xml:space="preserve">nell’ultimo triennio, nella provincia di Varese, sono stati segnalati numerosi casi di violenze e problemi sulle tratte di percorrenza dei treni locali gestiti dalle società Trenord e RFI, nonché sugli autobus di linea; </w:t>
      </w:r>
    </w:p>
    <w:p>
      <w:pPr>
        <w:pStyle w:val="ListParagraph"/>
        <w:spacing w:lineRule="auto" w:line="276" w:before="0" w:after="0"/>
        <w:contextualSpacing/>
        <w:rPr>
          <w:rFonts w:cs="Times New Roman" w:ascii="Century Gothic" w:hAnsi="Century Gothic"/>
          <w:bCs/>
        </w:rPr>
      </w:pPr>
      <w:r>
        <w:rPr>
          <w:rFonts w:cs="Times New Roman" w:ascii="Century Gothic" w:hAnsi="Century Gothic"/>
          <w:bCs/>
        </w:rPr>
      </w:r>
    </w:p>
    <w:p>
      <w:pPr>
        <w:pStyle w:val="Normal"/>
        <w:widowControl w:val="false"/>
        <w:spacing w:lineRule="auto" w:line="276" w:before="0" w:after="0"/>
        <w:jc w:val="center"/>
        <w:rPr>
          <w:rFonts w:cs="Times New Roman" w:ascii="Century Gothic" w:hAnsi="Century Gothic"/>
          <w:b/>
          <w:bCs/>
        </w:rPr>
      </w:pPr>
      <w:r>
        <w:rPr>
          <w:rFonts w:cs="Times New Roman" w:ascii="Century Gothic" w:hAnsi="Century Gothic"/>
          <w:b/>
          <w:bCs/>
        </w:rPr>
        <w:t>VERIFICATO</w:t>
      </w:r>
    </w:p>
    <w:p>
      <w:pPr>
        <w:pStyle w:val="ListParagraph"/>
        <w:numPr>
          <w:ilvl w:val="3"/>
          <w:numId w:val="1"/>
        </w:numPr>
        <w:spacing w:lineRule="auto" w:line="276" w:before="0" w:after="0"/>
        <w:ind w:left="709" w:right="0" w:hanging="360"/>
        <w:contextualSpacing/>
        <w:jc w:val="both"/>
        <w:rPr>
          <w:rFonts w:cs="Times New Roman" w:ascii="Century Gothic" w:hAnsi="Century Gothic"/>
        </w:rPr>
      </w:pPr>
      <w:r>
        <w:rPr>
          <w:rFonts w:cs="Times New Roman" w:ascii="Century Gothic" w:hAnsi="Century Gothic"/>
        </w:rPr>
        <w:t xml:space="preserve">l’interesse delle Parti ad attivare </w:t>
      </w:r>
      <w:bookmarkStart w:id="4" w:name="_Hlk83044044"/>
      <w:r>
        <w:rPr>
          <w:rFonts w:cs="Times New Roman" w:ascii="Century Gothic" w:hAnsi="Century Gothic"/>
        </w:rPr>
        <w:t>servizi straordinari di controllo e vigilanza</w:t>
      </w:r>
      <w:bookmarkEnd w:id="4"/>
      <w:r>
        <w:rPr>
          <w:rFonts w:cs="Times New Roman" w:ascii="Century Gothic" w:hAnsi="Century Gothic"/>
        </w:rPr>
        <w:t xml:space="preserve"> nelle stazioni lungo le tratte che insistono nella Provincia di Varese, ai fini dello sviluppo sostenibile del territorio per gli ambiti della sicurezza e della mobilità, con particolare riferimento al tema della sicurezza urbana, attraverso il rafforzamento e l’integrazione delle competenze professionali, sia </w:t>
      </w:r>
      <w:r>
        <w:rPr>
          <w:rFonts w:cs="Times New Roman" w:ascii="Century Gothic" w:hAnsi="Century Gothic"/>
          <w:bCs/>
        </w:rPr>
        <w:t xml:space="preserve">della Polizia di Stato e dell’Arma dei Carabinieri </w:t>
      </w:r>
      <w:r>
        <w:rPr>
          <w:rFonts w:cs="Times New Roman" w:ascii="Century Gothic" w:hAnsi="Century Gothic"/>
        </w:rPr>
        <w:t xml:space="preserve">che delle Polizie Locali, con l’espletamento di servizi coordinati per un periodo di significativa continuità, che dia efficacia all’azione e ottenga risultati concreti; </w:t>
      </w:r>
    </w:p>
    <w:p>
      <w:pPr>
        <w:pStyle w:val="ListParagraph"/>
        <w:numPr>
          <w:ilvl w:val="3"/>
          <w:numId w:val="1"/>
        </w:numPr>
        <w:spacing w:lineRule="auto" w:line="276" w:before="0" w:after="0"/>
        <w:ind w:left="709" w:right="0" w:hanging="360"/>
        <w:contextualSpacing/>
        <w:jc w:val="both"/>
        <w:rPr>
          <w:rFonts w:cs="Times New Roman" w:ascii="Century Gothic" w:hAnsi="Century Gothic"/>
        </w:rPr>
      </w:pPr>
      <w:r>
        <w:rPr>
          <w:rFonts w:cs="Times New Roman" w:ascii="Century Gothic" w:hAnsi="Century Gothic"/>
        </w:rPr>
        <w:t xml:space="preserve">che le Parti, aderendo agli obiettivi e agli indirizzi dell’Accordo tra il Ministero dell’Interno, Regione Lombardia e ANCI, sono disponibili e interessate all’avvio di un servizio sperimentale e straordinario di controlli, sia a bordo dei treni, con il potenziamento dei servizi della </w:t>
      </w:r>
      <w:r>
        <w:rPr>
          <w:rFonts w:cs="Times New Roman" w:ascii="Century Gothic" w:hAnsi="Century Gothic"/>
          <w:bCs/>
        </w:rPr>
        <w:t>Specialità</w:t>
      </w:r>
      <w:r>
        <w:rPr>
          <w:rFonts w:cs="Times New Roman" w:ascii="Century Gothic" w:hAnsi="Century Gothic"/>
        </w:rPr>
        <w:t xml:space="preserve"> polizia ferroviaria </w:t>
      </w:r>
      <w:bookmarkStart w:id="5" w:name="_Hlk66985630"/>
      <w:r>
        <w:rPr>
          <w:rFonts w:cs="Times New Roman" w:ascii="Century Gothic" w:hAnsi="Century Gothic"/>
          <w:bCs/>
        </w:rPr>
        <w:t xml:space="preserve">della Polizia </w:t>
      </w:r>
      <w:bookmarkEnd w:id="5"/>
      <w:r>
        <w:rPr>
          <w:rFonts w:cs="Times New Roman" w:ascii="Century Gothic" w:hAnsi="Century Gothic"/>
          <w:bCs/>
        </w:rPr>
        <w:t>di Stato</w:t>
      </w:r>
      <w:r>
        <w:rPr>
          <w:rFonts w:cs="Times New Roman" w:ascii="Century Gothic" w:hAnsi="Century Gothic"/>
        </w:rPr>
        <w:t>, che nelle aree adiacenti alle stazioni, da parte delle Polizie locali degli Enti ove insistono le stazioni, anche al fine di maturare un’esperienza dalla quale le Parti possano acquisire elementi per un percorso graduale successivo;</w:t>
      </w:r>
    </w:p>
    <w:p>
      <w:pPr>
        <w:pStyle w:val="Normal"/>
        <w:widowControl w:val="false"/>
        <w:spacing w:lineRule="auto" w:line="276" w:before="0" w:after="0"/>
        <w:ind w:left="454" w:right="0" w:hanging="0"/>
        <w:jc w:val="both"/>
        <w:rPr>
          <w:rFonts w:cs="Times New Roman" w:ascii="Century Gothic" w:hAnsi="Century Gothic"/>
          <w:strike/>
        </w:rPr>
      </w:pPr>
      <w:r>
        <w:rPr>
          <w:rFonts w:cs="Times New Roman" w:ascii="Century Gothic" w:hAnsi="Century Gothic"/>
          <w:strike/>
        </w:rPr>
      </w:r>
    </w:p>
    <w:p>
      <w:pPr>
        <w:pStyle w:val="Normal"/>
        <w:widowControl w:val="false"/>
        <w:spacing w:lineRule="auto" w:line="276" w:before="0" w:after="0"/>
        <w:ind w:left="0" w:right="0" w:firstLine="4395"/>
        <w:rPr>
          <w:rFonts w:cs="Times New Roman" w:ascii="Century Gothic" w:hAnsi="Century Gothic"/>
          <w:b/>
        </w:rPr>
      </w:pPr>
      <w:r>
        <w:rPr>
          <w:rFonts w:cs="Times New Roman" w:ascii="Century Gothic" w:hAnsi="Century Gothic"/>
          <w:b/>
        </w:rPr>
        <w:t>VISTO</w:t>
      </w:r>
    </w:p>
    <w:p>
      <w:pPr>
        <w:pStyle w:val="ListParagraph"/>
        <w:numPr>
          <w:ilvl w:val="3"/>
          <w:numId w:val="1"/>
        </w:numPr>
        <w:spacing w:lineRule="auto" w:line="276" w:before="0" w:after="0"/>
        <w:ind w:left="709" w:right="0" w:hanging="360"/>
        <w:contextualSpacing/>
        <w:jc w:val="both"/>
        <w:rPr>
          <w:rFonts w:cs="Times New Roman" w:ascii="Century Gothic" w:hAnsi="Century Gothic"/>
          <w:b/>
        </w:rPr>
      </w:pPr>
      <w:r>
        <w:rPr>
          <w:rFonts w:cs="Times New Roman" w:ascii="Century Gothic" w:hAnsi="Century Gothic"/>
        </w:rPr>
        <w:t>il parere favorevole del Ministero dell’Interno</w:t>
      </w:r>
      <w:r>
        <w:rPr>
          <w:rFonts w:cs="Times New Roman" w:ascii="Century Gothic" w:hAnsi="Century Gothic"/>
          <w:b/>
        </w:rPr>
        <w:t xml:space="preserve"> </w:t>
      </w:r>
      <w:r>
        <w:rPr>
          <w:rFonts w:cs="Times New Roman" w:ascii="Century Gothic" w:hAnsi="Century Gothic"/>
          <w:b w:val="false"/>
          <w:bCs w:val="false"/>
        </w:rPr>
        <w:t xml:space="preserve">di cui alla nota prot. n.        del </w:t>
      </w:r>
      <w:r>
        <w:rPr>
          <w:rFonts w:cs="Times New Roman" w:ascii="Century Gothic" w:hAnsi="Century Gothic"/>
          <w:b/>
        </w:rPr>
        <w:t xml:space="preserve">               ;</w:t>
      </w:r>
    </w:p>
    <w:p>
      <w:pPr>
        <w:pStyle w:val="ListParagraph"/>
        <w:spacing w:lineRule="auto" w:line="276" w:before="0" w:after="0"/>
        <w:ind w:left="3306" w:right="0" w:hanging="0"/>
        <w:contextualSpacing/>
        <w:jc w:val="both"/>
        <w:rPr>
          <w:rFonts w:cs="Times New Roman" w:ascii="Century Gothic" w:hAnsi="Century Gothic"/>
          <w:b/>
        </w:rPr>
      </w:pPr>
      <w:bookmarkStart w:id="6" w:name="_Hlk83041196"/>
      <w:bookmarkStart w:id="7" w:name="_Hlk83041196"/>
      <w:bookmarkEnd w:id="7"/>
      <w:r>
        <w:rPr>
          <w:rFonts w:cs="Times New Roman" w:ascii="Century Gothic" w:hAnsi="Century Gothic"/>
          <w:b/>
        </w:rPr>
      </w:r>
    </w:p>
    <w:p>
      <w:pPr>
        <w:pStyle w:val="Normal"/>
        <w:widowControl w:val="false"/>
        <w:spacing w:lineRule="auto" w:line="240" w:before="120" w:after="120"/>
        <w:ind w:left="3994" w:right="0" w:firstLine="254"/>
        <w:rPr>
          <w:rFonts w:cs="Times New Roman" w:ascii="Times New Roman" w:hAnsi="Times New Roman"/>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VISTA</w:t>
      </w:r>
    </w:p>
    <w:p>
      <w:pPr>
        <w:pStyle w:val="Normal"/>
        <w:widowControl w:val="false"/>
        <w:numPr>
          <w:ilvl w:val="0"/>
          <w:numId w:val="14"/>
        </w:numPr>
        <w:spacing w:lineRule="auto" w:line="240" w:before="120" w:after="120"/>
        <w:ind w:left="454" w:right="0" w:hanging="360"/>
        <w:jc w:val="both"/>
        <w:rPr>
          <w:rFonts w:cs="Times New Roman" w:ascii="Century Gothic" w:hAnsi="Century Gothic"/>
          <w:sz w:val="24"/>
          <w:szCs w:val="24"/>
        </w:rPr>
      </w:pPr>
      <w:r>
        <w:rPr>
          <w:rFonts w:cs="Times New Roman" w:ascii="Century Gothic" w:hAnsi="Century Gothic"/>
          <w:sz w:val="24"/>
          <w:szCs w:val="24"/>
        </w:rPr>
        <w:t>la delibera della Giunta Regionale Lombardia n. _________    del ________ 2022;</w:t>
      </w:r>
    </w:p>
    <w:p>
      <w:pPr>
        <w:pStyle w:val="Normal"/>
        <w:widowControl w:val="false"/>
        <w:numPr>
          <w:ilvl w:val="0"/>
          <w:numId w:val="14"/>
        </w:numPr>
        <w:spacing w:lineRule="auto" w:line="240" w:before="120" w:after="120"/>
        <w:ind w:left="454" w:right="0" w:hanging="360"/>
        <w:jc w:val="both"/>
        <w:rPr>
          <w:rFonts w:cs="Times New Roman" w:ascii="Century Gothic" w:hAnsi="Century Gothic"/>
          <w:sz w:val="24"/>
          <w:szCs w:val="24"/>
        </w:rPr>
      </w:pPr>
      <w:r>
        <w:rPr>
          <w:rFonts w:cs="Times New Roman" w:ascii="Century Gothic" w:hAnsi="Century Gothic"/>
          <w:sz w:val="24"/>
          <w:szCs w:val="24"/>
        </w:rPr>
      </w:r>
    </w:p>
    <w:p>
      <w:pPr>
        <w:pStyle w:val="Normal"/>
        <w:widowControl w:val="false"/>
        <w:spacing w:lineRule="auto" w:line="276" w:before="0" w:after="0"/>
        <w:jc w:val="center"/>
        <w:rPr>
          <w:rFonts w:cs="Times New Roman" w:ascii="Century Gothic" w:hAnsi="Century Gothic"/>
          <w:b/>
          <w:bCs/>
        </w:rPr>
      </w:pPr>
      <w:r>
        <w:rPr>
          <w:rFonts w:cs="Times New Roman" w:ascii="Century Gothic" w:hAnsi="Century Gothic"/>
          <w:b/>
          <w:bCs/>
        </w:rPr>
        <w:t>RITENUTO</w:t>
      </w:r>
    </w:p>
    <w:p>
      <w:pPr>
        <w:pStyle w:val="ListParagraph"/>
        <w:numPr>
          <w:ilvl w:val="3"/>
          <w:numId w:val="1"/>
        </w:numPr>
        <w:spacing w:lineRule="auto" w:line="276" w:before="0" w:after="0"/>
        <w:ind w:left="709" w:right="0" w:hanging="360"/>
        <w:contextualSpacing/>
        <w:jc w:val="both"/>
        <w:rPr>
          <w:rFonts w:cs="Times New Roman" w:ascii="Century Gothic" w:hAnsi="Century Gothic"/>
        </w:rPr>
      </w:pPr>
      <w:r>
        <w:rPr>
          <w:rFonts w:cs="Times New Roman" w:ascii="Century Gothic" w:hAnsi="Century Gothic"/>
        </w:rPr>
        <w:t xml:space="preserve">in attuazione dell’art. 15, comma 2, del citato </w:t>
      </w:r>
      <w:r>
        <w:rPr>
          <w:rFonts w:cs="Times New Roman" w:ascii="Century Gothic" w:hAnsi="Century Gothic"/>
          <w:i/>
          <w:iCs/>
        </w:rPr>
        <w:t>Accordo per la promozione della sicurezza integrata</w:t>
      </w:r>
      <w:r>
        <w:rPr>
          <w:rFonts w:cs="Times New Roman" w:ascii="Century Gothic" w:hAnsi="Century Gothic"/>
        </w:rPr>
        <w:t xml:space="preserve"> e in continuità con il </w:t>
      </w:r>
      <w:r>
        <w:rPr>
          <w:rFonts w:cs="Times New Roman" w:ascii="Century Gothic" w:hAnsi="Century Gothic"/>
          <w:i/>
          <w:iCs/>
        </w:rPr>
        <w:t>Patto per la Sicurezza</w:t>
      </w:r>
      <w:r>
        <w:rPr>
          <w:rFonts w:cs="Times New Roman" w:ascii="Century Gothic" w:hAnsi="Century Gothic"/>
        </w:rPr>
        <w:t xml:space="preserve">, di attivare, in via sperimentale, servizi straordinari di controllo nelle stazioni, specie quelle sprovviste di presidi della Polizia ferroviaria lungo </w:t>
      </w:r>
      <w:r>
        <w:rPr>
          <w:rFonts w:cs="Times New Roman" w:ascii="Century Gothic" w:hAnsi="Century Gothic"/>
          <w:b w:val="false"/>
          <w:bCs w:val="false"/>
        </w:rPr>
        <w:t xml:space="preserve">le tratte </w:t>
      </w:r>
      <w:r>
        <w:rPr>
          <w:rFonts w:cs="Times New Roman" w:ascii="Century Gothic" w:hAnsi="Century Gothic"/>
        </w:rPr>
        <w:t xml:space="preserve">della provincia di Varese, anche attraverso l’integrazione delle diverse competenze funzionali e professionali per la tutela della sicurezza urbana, mediante </w:t>
      </w:r>
      <w:r>
        <w:rPr>
          <w:rFonts w:cs="Times New Roman" w:ascii="Century Gothic" w:hAnsi="Century Gothic"/>
          <w:bCs/>
        </w:rPr>
        <w:t>il concorso</w:t>
      </w:r>
      <w:r>
        <w:rPr>
          <w:rFonts w:cs="Times New Roman" w:ascii="Century Gothic" w:hAnsi="Century Gothic"/>
        </w:rPr>
        <w:t xml:space="preserve"> dei servizi di più Comandi o Servizi di Polizia locale, </w:t>
      </w:r>
      <w:r>
        <w:rPr>
          <w:rFonts w:cs="Times New Roman" w:ascii="Century Gothic" w:hAnsi="Century Gothic"/>
          <w:bCs/>
        </w:rPr>
        <w:t>prioritariamente</w:t>
      </w:r>
      <w:r>
        <w:rPr>
          <w:rFonts w:cs="Times New Roman" w:ascii="Century Gothic" w:hAnsi="Century Gothic"/>
        </w:rPr>
        <w:t xml:space="preserve"> </w:t>
      </w:r>
      <w:r>
        <w:rPr>
          <w:rFonts w:cs="Times New Roman" w:ascii="Century Gothic" w:hAnsi="Century Gothic"/>
          <w:bCs/>
        </w:rPr>
        <w:t>con la Polizia ferroviaria</w:t>
      </w:r>
      <w:r>
        <w:rPr>
          <w:rFonts w:cs="Times New Roman" w:ascii="Century Gothic" w:hAnsi="Century Gothic"/>
        </w:rPr>
        <w:t xml:space="preserve">, </w:t>
      </w:r>
      <w:r>
        <w:rPr>
          <w:rFonts w:cs="Times New Roman" w:ascii="Century Gothic" w:hAnsi="Century Gothic"/>
          <w:bCs/>
        </w:rPr>
        <w:t>oppure con l’</w:t>
      </w:r>
      <w:r>
        <w:rPr>
          <w:rFonts w:cs="Times New Roman" w:ascii="Century Gothic" w:hAnsi="Century Gothic"/>
        </w:rPr>
        <w:t xml:space="preserve">Arma dei Carabinieri, nonché avvalendosi del collegamento da remoto della Società TRENORD, superando anche la barriera funzionale ed operativa dei confini territoriali di riferimento del singolo Corpo o Servizio di Polizia locale, per affrontare problematiche che, in concreto, sono di rilievo ulteriore a quello della specifica competenza territoriale nelle fasi di vigilanza/monitoraggio/prevenzione e controllo, nel rispetto della Legge 7.3.1986, n. 65 recante </w:t>
      </w:r>
      <w:r>
        <w:rPr>
          <w:rFonts w:cs="Times New Roman" w:ascii="Century Gothic" w:hAnsi="Century Gothic"/>
          <w:i/>
        </w:rPr>
        <w:t>Legge quadro sull’ordinamento della Polizia Municipale</w:t>
      </w:r>
      <w:r>
        <w:rPr>
          <w:rFonts w:cs="Times New Roman" w:ascii="Century Gothic" w:hAnsi="Century Gothic"/>
        </w:rPr>
        <w:t>;</w:t>
      </w:r>
    </w:p>
    <w:p>
      <w:pPr>
        <w:pStyle w:val="ListParagraph"/>
        <w:numPr>
          <w:ilvl w:val="3"/>
          <w:numId w:val="1"/>
        </w:numPr>
        <w:spacing w:lineRule="auto" w:line="276" w:before="0" w:after="0"/>
        <w:ind w:left="709" w:right="0" w:hanging="360"/>
        <w:contextualSpacing/>
        <w:jc w:val="both"/>
        <w:rPr>
          <w:rFonts w:cs="Times New Roman" w:ascii="Century Gothic" w:hAnsi="Century Gothic"/>
        </w:rPr>
      </w:pPr>
      <w:r>
        <w:rPr>
          <w:rFonts w:cs="Times New Roman" w:ascii="Century Gothic" w:hAnsi="Century Gothic"/>
        </w:rPr>
        <w:t xml:space="preserve">che i Comandi o i Servizi di Polizia Locale, per le finalità del presente Accordo, operano principalmente nelle aree adiacenti alle stazioni ferroviarie, </w:t>
      </w:r>
      <w:r>
        <w:rPr>
          <w:rFonts w:cs="Times New Roman" w:ascii="Century Gothic" w:hAnsi="Century Gothic"/>
          <w:b w:val="false"/>
          <w:bCs w:val="false"/>
        </w:rPr>
        <w:t>previa comunicazione della loro presenza al Centro Operativo Compartimentale (C.O.C.) della Polfer,</w:t>
      </w:r>
      <w:r>
        <w:rPr>
          <w:rFonts w:cs="Times New Roman" w:ascii="Century Gothic" w:hAnsi="Century Gothic"/>
        </w:rPr>
        <w:t xml:space="preserve"> e in presenza di urgenti esigenze di prevenzione dei reati o di turbamenti dell’ordine pubblico, in qualità di Agenti di Pubblica Sicurezza </w:t>
      </w:r>
      <w:r>
        <w:rPr>
          <w:rFonts w:cs="Times New Roman" w:ascii="Century Gothic" w:hAnsi="Century Gothic"/>
          <w:b w:val="false"/>
          <w:bCs w:val="false"/>
          <w:color w:val="000000"/>
        </w:rPr>
        <w:t>comunicano l’accesso alle stazioni all’Autorità di PS o agli Ufficiali di PS da essa delegati, eseguendo le direttive, laddove pervenute utilmente nel contesto dell’intervento da effettuare.</w:t>
      </w:r>
      <w:r>
        <w:rPr>
          <w:rFonts w:cs="Times New Roman" w:ascii="Century Gothic" w:hAnsi="Century Gothic"/>
          <w:b/>
          <w:bCs/>
          <w:color w:val="000000"/>
        </w:rPr>
        <w:t xml:space="preserve"> </w:t>
      </w:r>
      <w:r>
        <w:rPr>
          <w:rFonts w:cs="Times New Roman" w:ascii="Century Gothic" w:hAnsi="Century Gothic"/>
        </w:rPr>
        <w:t>A tal fine,</w:t>
      </w:r>
      <w:r>
        <w:rPr>
          <w:rFonts w:cs="Times New Roman" w:ascii="Century Gothic" w:hAnsi="Century Gothic"/>
          <w:b/>
        </w:rPr>
        <w:t xml:space="preserve"> </w:t>
      </w:r>
      <w:r>
        <w:rPr>
          <w:rFonts w:cs="Times New Roman" w:ascii="Century Gothic" w:hAnsi="Century Gothic"/>
        </w:rPr>
        <w:t>tutti</w:t>
      </w:r>
      <w:r>
        <w:rPr>
          <w:rFonts w:cs="Times New Roman" w:ascii="Century Gothic" w:hAnsi="Century Gothic"/>
          <w:b/>
        </w:rPr>
        <w:t xml:space="preserve"> </w:t>
      </w:r>
      <w:r>
        <w:rPr>
          <w:rFonts w:cs="Times New Roman" w:ascii="Century Gothic" w:hAnsi="Century Gothic"/>
        </w:rPr>
        <w:t xml:space="preserve">i servizi si coordinano </w:t>
      </w:r>
      <w:bookmarkStart w:id="8" w:name="_Hlk66988825"/>
      <w:r>
        <w:rPr>
          <w:rFonts w:cs="Times New Roman" w:ascii="Century Gothic" w:hAnsi="Century Gothic"/>
        </w:rPr>
        <w:t>tempestivamente con la Centrale Operativa della Questura e con quella dell’Arma dei Carabinieri di</w:t>
      </w:r>
      <w:r>
        <w:rPr>
          <w:rFonts w:cs="Times New Roman" w:ascii="Century Gothic" w:hAnsi="Century Gothic"/>
          <w:bCs/>
        </w:rPr>
        <w:t xml:space="preserve"> Varese, in funzione del turno di riferimento previsto dal Piano di Controllo Coordinato del Territorio e, al di fuori di esso, con le Centrali Operative dell’Arma dei Carabinieri di Varese, di Busto Arsizio, di Gallarate, di Luino, di Saronno</w:t>
      </w:r>
      <w:r>
        <w:rPr>
          <w:rFonts w:cs="Times New Roman" w:ascii="Century Gothic" w:hAnsi="Century Gothic"/>
        </w:rPr>
        <w:t xml:space="preserve"> e con il Centro Operativo Compartimentale della Polizia Ferroviaria della Lombardia</w:t>
      </w:r>
      <w:bookmarkEnd w:id="8"/>
      <w:r>
        <w:rPr>
          <w:rFonts w:cs="Times New Roman" w:ascii="Century Gothic" w:hAnsi="Century Gothic"/>
        </w:rPr>
        <w:t>;</w:t>
      </w:r>
    </w:p>
    <w:p>
      <w:pPr>
        <w:pStyle w:val="ListParagraph"/>
        <w:numPr>
          <w:ilvl w:val="3"/>
          <w:numId w:val="1"/>
        </w:numPr>
        <w:spacing w:lineRule="auto" w:line="276" w:before="0" w:after="0"/>
        <w:ind w:left="709" w:right="0" w:hanging="360"/>
        <w:contextualSpacing/>
        <w:jc w:val="both"/>
        <w:rPr>
          <w:rFonts w:cs="Times New Roman" w:ascii="Century Gothic" w:hAnsi="Century Gothic"/>
        </w:rPr>
      </w:pPr>
      <w:r>
        <w:rPr>
          <w:rFonts w:cs="Times New Roman" w:ascii="Century Gothic" w:hAnsi="Century Gothic"/>
          <w:bCs/>
        </w:rPr>
        <w:t xml:space="preserve">che i servizi di vigilanza “a bordo treno”, nonché degli impianti, delle infrastrutture, della rete e del materiale rotabile sono </w:t>
      </w:r>
      <w:r>
        <w:rPr>
          <w:rFonts w:cs="Times New Roman" w:ascii="Century Gothic" w:hAnsi="Century Gothic"/>
        </w:rPr>
        <w:t>di esclusiva competenza della Polizia Ferroviaria;</w:t>
      </w:r>
    </w:p>
    <w:p>
      <w:pPr>
        <w:pStyle w:val="Normal"/>
        <w:widowControl w:val="false"/>
        <w:spacing w:lineRule="auto" w:line="276" w:before="0" w:after="0"/>
        <w:ind w:left="454" w:right="0" w:hanging="0"/>
        <w:jc w:val="both"/>
        <w:rPr>
          <w:rFonts w:cs="Times New Roman" w:ascii="Century Gothic" w:hAnsi="Century Gothic"/>
          <w:strike/>
        </w:rPr>
      </w:pPr>
      <w:r>
        <w:rPr>
          <w:rFonts w:cs="Times New Roman" w:ascii="Century Gothic" w:hAnsi="Century Gothic"/>
          <w:strike/>
        </w:rPr>
      </w:r>
    </w:p>
    <w:p>
      <w:pPr>
        <w:pStyle w:val="Normal"/>
        <w:spacing w:lineRule="auto" w:line="276" w:before="0" w:after="0"/>
        <w:jc w:val="center"/>
        <w:rPr>
          <w:rFonts w:cs="Times New Roman" w:ascii="Century Gothic" w:hAnsi="Century Gothic"/>
          <w:b w:val="false"/>
          <w:bCs w:val="false"/>
        </w:rPr>
      </w:pPr>
      <w:r>
        <w:rPr>
          <w:rFonts w:cs="Times New Roman" w:ascii="Century Gothic" w:hAnsi="Century Gothic"/>
          <w:b w:val="false"/>
          <w:bCs w:val="false"/>
        </w:rPr>
        <w:t>Tutto quanto sopra premesso</w:t>
      </w:r>
    </w:p>
    <w:p>
      <w:pPr>
        <w:pStyle w:val="Normal"/>
        <w:spacing w:lineRule="auto" w:line="276" w:before="0" w:after="0"/>
        <w:jc w:val="center"/>
        <w:rPr>
          <w:rFonts w:cs="Times New Roman" w:ascii="Century Gothic" w:hAnsi="Century Gothic"/>
          <w:b w:val="false"/>
          <w:bCs w:val="false"/>
        </w:rPr>
      </w:pPr>
      <w:r>
        <w:rPr>
          <w:rFonts w:cs="Times New Roman" w:ascii="Century Gothic" w:hAnsi="Century Gothic"/>
          <w:b w:val="false"/>
          <w:bCs w:val="false"/>
        </w:rPr>
        <w:t>Si conviene e si stipula quanto segue:</w:t>
      </w:r>
    </w:p>
    <w:p>
      <w:pPr>
        <w:pStyle w:val="Normal"/>
        <w:spacing w:lineRule="auto" w:line="276" w:before="0" w:after="0"/>
        <w:jc w:val="center"/>
        <w:rPr>
          <w:rFonts w:cs="Times New Roman" w:ascii="Century Gothic" w:hAnsi="Century Gothic"/>
          <w:b/>
          <w:bCs/>
        </w:rPr>
      </w:pPr>
      <w:r>
        <w:rPr>
          <w:rFonts w:cs="Times New Roman" w:ascii="Century Gothic" w:hAnsi="Century Gothic"/>
          <w:b/>
          <w:bCs/>
        </w:rPr>
      </w:r>
    </w:p>
    <w:p>
      <w:pPr>
        <w:pStyle w:val="Normal"/>
        <w:spacing w:lineRule="auto" w:line="276" w:before="0" w:after="0"/>
        <w:jc w:val="center"/>
        <w:rPr>
          <w:rFonts w:cs="Times New Roman" w:ascii="Century Gothic" w:hAnsi="Century Gothic"/>
          <w:b/>
          <w:bCs/>
        </w:rPr>
      </w:pPr>
      <w:r>
        <w:rPr>
          <w:rFonts w:cs="Times New Roman" w:ascii="Century Gothic" w:hAnsi="Century Gothic"/>
          <w:b/>
          <w:bCs/>
        </w:rPr>
        <w:t>ART. 1</w:t>
      </w:r>
    </w:p>
    <w:p>
      <w:pPr>
        <w:pStyle w:val="Normal"/>
        <w:widowControl w:val="false"/>
        <w:spacing w:lineRule="auto" w:line="276" w:before="0" w:after="0"/>
        <w:jc w:val="center"/>
        <w:rPr>
          <w:rFonts w:cs="Times New Roman" w:ascii="Century Gothic" w:hAnsi="Century Gothic"/>
          <w:b/>
          <w:bCs/>
        </w:rPr>
      </w:pPr>
      <w:r>
        <w:rPr>
          <w:rFonts w:cs="Times New Roman" w:ascii="Century Gothic" w:hAnsi="Century Gothic"/>
          <w:b/>
          <w:bCs/>
        </w:rPr>
        <w:t>FINALITA’ E PRIORITÀ DELL’ACCORDO</w:t>
      </w:r>
    </w:p>
    <w:p>
      <w:pPr>
        <w:pStyle w:val="ListParagraph"/>
        <w:numPr>
          <w:ilvl w:val="0"/>
          <w:numId w:val="3"/>
        </w:numPr>
        <w:spacing w:lineRule="auto" w:line="276" w:before="120" w:after="120"/>
        <w:ind w:left="714" w:right="0" w:hanging="360"/>
        <w:contextualSpacing/>
        <w:jc w:val="both"/>
        <w:rPr>
          <w:rFonts w:cs="Times New Roman" w:ascii="Century Gothic" w:hAnsi="Century Gothic"/>
          <w:bCs/>
        </w:rPr>
      </w:pPr>
      <w:r>
        <w:rPr>
          <w:rFonts w:cs="Times New Roman" w:ascii="Century Gothic" w:hAnsi="Century Gothic"/>
        </w:rPr>
        <w:t xml:space="preserve">Finalità del presente Accordo è lo svolgimento di specifici servizi </w:t>
      </w:r>
      <w:r>
        <w:rPr>
          <w:rFonts w:cs="Times New Roman" w:ascii="Century Gothic" w:hAnsi="Century Gothic"/>
          <w:bCs/>
        </w:rPr>
        <w:t>volti</w:t>
      </w:r>
      <w:r>
        <w:rPr>
          <w:rFonts w:cs="Times New Roman" w:ascii="Century Gothic" w:hAnsi="Century Gothic"/>
        </w:rPr>
        <w:t xml:space="preserve"> al controllo del territorio, al contrasto di atti vandalici e altri comportamenti che ingenerano insicurezza  nella popolazione, da parte delle Polizie locali, nelle aree limitrofe alle stazioni nei Comuni della Provincia di Varese, all’interno delle medesime stazioni dall’Arma dei Carabinieri, quando non siano</w:t>
      </w:r>
      <w:r>
        <w:rPr>
          <w:rFonts w:cs="Times New Roman" w:ascii="Century Gothic" w:hAnsi="Century Gothic"/>
          <w:bCs/>
        </w:rPr>
        <w:t xml:space="preserve"> presidiate dalla Specialità Polizia Ferroviaria, </w:t>
      </w:r>
      <w:r>
        <w:rPr>
          <w:rFonts w:cs="Times New Roman" w:ascii="Century Gothic" w:hAnsi="Century Gothic"/>
        </w:rPr>
        <w:t>coordinandosi tempestivamente con la Centrale Operativa della Questura</w:t>
      </w:r>
      <w:r>
        <w:rPr>
          <w:rFonts w:cs="Times New Roman" w:ascii="Century Gothic" w:hAnsi="Century Gothic"/>
          <w:bCs/>
        </w:rPr>
        <w:t xml:space="preserve">, se nel Capoluogo, in funzione del turno di riferimento previsto dal Piano di Controllo Coordinato del Territorio  e,  al di fuori di esso, con le Centrali Operative dell’Arma dei Carabinieri di Varese e di Busto Arsizio, di Gallarate, di Luino, di Saronno  </w:t>
      </w:r>
      <w:r>
        <w:rPr>
          <w:rFonts w:cs="Times New Roman" w:ascii="Century Gothic" w:hAnsi="Century Gothic"/>
        </w:rPr>
        <w:t>e, comunque, con il Centro Operativo Compartimentale della Polizia Ferroviaria della Lombardia</w:t>
      </w:r>
      <w:r>
        <w:rPr>
          <w:rFonts w:cs="Times New Roman" w:ascii="Century Gothic" w:hAnsi="Century Gothic"/>
          <w:bCs/>
        </w:rPr>
        <w:t>.</w:t>
      </w:r>
    </w:p>
    <w:p>
      <w:pPr>
        <w:pStyle w:val="ListParagraph"/>
        <w:numPr>
          <w:ilvl w:val="0"/>
          <w:numId w:val="3"/>
        </w:numPr>
        <w:spacing w:lineRule="auto" w:line="276" w:before="120" w:after="120"/>
        <w:contextualSpacing/>
        <w:jc w:val="both"/>
        <w:rPr>
          <w:rFonts w:cs="Times New Roman" w:ascii="Century Gothic" w:hAnsi="Century Gothic"/>
        </w:rPr>
      </w:pPr>
      <w:r>
        <w:rPr>
          <w:rFonts w:cs="Times New Roman" w:ascii="Century Gothic" w:hAnsi="Century Gothic"/>
        </w:rPr>
        <w:t xml:space="preserve">Il Prefetto, il Presidente della Regione, i Sindaci dei </w:t>
      </w:r>
      <w:bookmarkStart w:id="9" w:name="_Hlk83223011"/>
      <w:r>
        <w:rPr>
          <w:rFonts w:cs="Times New Roman" w:ascii="Century Gothic" w:hAnsi="Century Gothic"/>
        </w:rPr>
        <w:t xml:space="preserve">Comuni di Varese, </w:t>
      </w:r>
      <w:r>
        <w:rPr>
          <w:rFonts w:cs="Times New Roman" w:ascii="Century Gothic" w:hAnsi="Century Gothic"/>
          <w:bCs/>
        </w:rPr>
        <w:t xml:space="preserve">Busto Arsizio, Gallarate e </w:t>
      </w:r>
      <w:r>
        <w:rPr>
          <w:rFonts w:cs="Times New Roman" w:ascii="Century Gothic" w:hAnsi="Century Gothic"/>
          <w:bCs/>
          <w:highlight w:val="yellow"/>
        </w:rPr>
        <w:t xml:space="preserve">Azzate, Barasso </w:t>
      </w:r>
      <w:r>
        <w:rPr>
          <w:rFonts w:eastAsia="Calibri" w:cs=""/>
          <w:highlight w:val="yellow"/>
        </w:rPr>
        <w:t xml:space="preserve">, </w:t>
      </w:r>
      <w:r>
        <w:rPr>
          <w:rFonts w:cs="Times New Roman" w:ascii="Century Gothic" w:hAnsi="Century Gothic"/>
          <w:bCs/>
          <w:highlight w:val="yellow"/>
        </w:rPr>
        <w:t>Besano</w:t>
      </w:r>
      <w:r>
        <w:rPr>
          <w:rFonts w:eastAsia="Calibri" w:cs=""/>
          <w:highlight w:val="yellow"/>
        </w:rPr>
        <w:t xml:space="preserve"> , </w:t>
      </w:r>
      <w:r>
        <w:rPr>
          <w:rFonts w:cs="Times New Roman" w:ascii="Century Gothic" w:hAnsi="Century Gothic"/>
          <w:bCs/>
          <w:highlight w:val="yellow"/>
        </w:rPr>
        <w:t>Bisuschio</w:t>
      </w:r>
      <w:r>
        <w:rPr>
          <w:rFonts w:eastAsia="Calibri" w:cs=""/>
          <w:highlight w:val="yellow"/>
        </w:rPr>
        <w:t xml:space="preserve">, </w:t>
      </w:r>
      <w:r>
        <w:rPr>
          <w:rFonts w:cs="Times New Roman" w:ascii="Century Gothic" w:hAnsi="Century Gothic"/>
          <w:bCs/>
          <w:highlight w:val="yellow"/>
        </w:rPr>
        <w:t>Brebbia</w:t>
      </w:r>
      <w:r>
        <w:rPr>
          <w:rFonts w:eastAsia="Calibri" w:cs=""/>
          <w:highlight w:val="yellow"/>
        </w:rPr>
        <w:t xml:space="preserve">, </w:t>
      </w:r>
      <w:r>
        <w:rPr>
          <w:rFonts w:cs="Times New Roman" w:ascii="Century Gothic" w:hAnsi="Century Gothic"/>
          <w:bCs/>
          <w:highlight w:val="yellow"/>
        </w:rPr>
        <w:t>Brezzo di Bedero</w:t>
      </w:r>
      <w:r>
        <w:rPr>
          <w:rFonts w:eastAsia="Calibri" w:cs=""/>
          <w:highlight w:val="yellow"/>
        </w:rPr>
        <w:t xml:space="preserve">, </w:t>
      </w:r>
      <w:r>
        <w:rPr>
          <w:rFonts w:cs="Times New Roman" w:ascii="Century Gothic" w:hAnsi="Century Gothic"/>
          <w:bCs/>
          <w:highlight w:val="yellow"/>
        </w:rPr>
        <w:t>Brinzio</w:t>
      </w:r>
      <w:r>
        <w:rPr>
          <w:rFonts w:eastAsia="Calibri" w:cs=""/>
          <w:highlight w:val="yellow"/>
        </w:rPr>
        <w:t xml:space="preserve">,, </w:t>
      </w:r>
      <w:r>
        <w:rPr>
          <w:rFonts w:cs="Times New Roman" w:ascii="Century Gothic" w:hAnsi="Century Gothic"/>
          <w:bCs/>
          <w:highlight w:val="yellow"/>
        </w:rPr>
        <w:t>Brusimpiano</w:t>
      </w:r>
      <w:r>
        <w:rPr>
          <w:rFonts w:eastAsia="Calibri" w:cs=""/>
          <w:highlight w:val="yellow"/>
        </w:rPr>
        <w:t xml:space="preserve">, </w:t>
      </w:r>
      <w:r>
        <w:rPr>
          <w:rFonts w:cs="Times New Roman" w:ascii="Century Gothic" w:hAnsi="Century Gothic"/>
          <w:bCs/>
          <w:highlight w:val="yellow"/>
        </w:rPr>
        <w:t>Cantello</w:t>
      </w:r>
      <w:r>
        <w:rPr>
          <w:rFonts w:eastAsia="Calibri" w:cs=""/>
          <w:highlight w:val="yellow"/>
        </w:rPr>
        <w:t xml:space="preserve">, </w:t>
      </w:r>
      <w:r>
        <w:rPr>
          <w:rFonts w:cs="Times New Roman" w:ascii="Century Gothic" w:hAnsi="Century Gothic"/>
          <w:bCs/>
          <w:highlight w:val="yellow"/>
        </w:rPr>
        <w:t>Casciago</w:t>
      </w:r>
      <w:r>
        <w:rPr>
          <w:rFonts w:eastAsia="Calibri" w:cs=""/>
          <w:highlight w:val="yellow"/>
        </w:rPr>
        <w:t xml:space="preserve">, </w:t>
      </w:r>
      <w:r>
        <w:rPr>
          <w:rFonts w:cs="Times New Roman" w:ascii="Century Gothic" w:hAnsi="Century Gothic"/>
          <w:bCs/>
          <w:highlight w:val="yellow"/>
        </w:rPr>
        <w:t>Casorate Sempione</w:t>
      </w:r>
      <w:r>
        <w:rPr>
          <w:rFonts w:eastAsia="Calibri" w:cs=""/>
          <w:highlight w:val="yellow"/>
        </w:rPr>
        <w:t xml:space="preserve">, </w:t>
      </w:r>
      <w:r>
        <w:rPr>
          <w:rFonts w:cs="Times New Roman" w:ascii="Century Gothic" w:hAnsi="Century Gothic"/>
          <w:bCs/>
          <w:highlight w:val="yellow"/>
        </w:rPr>
        <w:t>Caronno Pertusella</w:t>
      </w:r>
      <w:r>
        <w:rPr>
          <w:rFonts w:eastAsia="Calibri" w:cs=""/>
          <w:highlight w:val="yellow"/>
        </w:rPr>
        <w:t xml:space="preserve">, </w:t>
      </w:r>
      <w:r>
        <w:rPr>
          <w:rFonts w:cs="Times New Roman" w:ascii="Century Gothic" w:hAnsi="Century Gothic"/>
          <w:bCs/>
          <w:highlight w:val="yellow"/>
        </w:rPr>
        <w:t>Caronno Varesino</w:t>
      </w:r>
      <w:r>
        <w:rPr>
          <w:rFonts w:eastAsia="Calibri" w:cs=""/>
          <w:highlight w:val="yellow"/>
        </w:rPr>
        <w:t xml:space="preserve">, </w:t>
      </w:r>
      <w:r>
        <w:rPr>
          <w:rFonts w:cs="Times New Roman" w:ascii="Century Gothic" w:hAnsi="Century Gothic"/>
          <w:bCs/>
          <w:highlight w:val="yellow"/>
        </w:rPr>
        <w:t>Cassano Magnago, Cassano Valcuvia</w:t>
      </w:r>
      <w:r>
        <w:rPr>
          <w:rFonts w:eastAsia="Calibri" w:cs=""/>
          <w:highlight w:val="yellow"/>
        </w:rPr>
        <w:t xml:space="preserve">, </w:t>
      </w:r>
      <w:r>
        <w:rPr>
          <w:rFonts w:cs="Times New Roman" w:ascii="Century Gothic" w:hAnsi="Century Gothic"/>
          <w:bCs/>
          <w:highlight w:val="yellow"/>
        </w:rPr>
        <w:t>Castello Cabiaglio</w:t>
      </w:r>
      <w:r>
        <w:rPr>
          <w:rFonts w:eastAsia="Calibri" w:cs=""/>
          <w:highlight w:val="yellow"/>
        </w:rPr>
        <w:t xml:space="preserve">, </w:t>
      </w:r>
      <w:r>
        <w:rPr>
          <w:rFonts w:cs="Times New Roman" w:ascii="Century Gothic" w:hAnsi="Century Gothic"/>
          <w:bCs/>
          <w:highlight w:val="yellow"/>
        </w:rPr>
        <w:t>Castronno</w:t>
      </w:r>
      <w:r>
        <w:rPr>
          <w:rFonts w:eastAsia="Calibri" w:cs=""/>
          <w:highlight w:val="yellow"/>
        </w:rPr>
        <w:t xml:space="preserve">, </w:t>
      </w:r>
      <w:r>
        <w:rPr>
          <w:rFonts w:cs="Times New Roman" w:ascii="Century Gothic" w:hAnsi="Century Gothic"/>
          <w:bCs/>
          <w:highlight w:val="yellow"/>
        </w:rPr>
        <w:t xml:space="preserve">Cavaria con Premezzo </w:t>
      </w:r>
      <w:r>
        <w:rPr>
          <w:rFonts w:eastAsia="Calibri" w:cs=""/>
          <w:highlight w:val="yellow"/>
        </w:rPr>
        <w:t xml:space="preserve">, </w:t>
      </w:r>
      <w:r>
        <w:rPr>
          <w:rFonts w:cs="Times New Roman" w:ascii="Century Gothic" w:hAnsi="Century Gothic"/>
          <w:bCs/>
          <w:highlight w:val="yellow"/>
        </w:rPr>
        <w:t>Clivio</w:t>
      </w:r>
      <w:r>
        <w:rPr>
          <w:rFonts w:eastAsia="Calibri" w:cs=""/>
          <w:highlight w:val="yellow"/>
        </w:rPr>
        <w:t xml:space="preserve">, </w:t>
      </w:r>
      <w:r>
        <w:rPr>
          <w:rFonts w:cs="Times New Roman" w:ascii="Century Gothic" w:hAnsi="Century Gothic"/>
          <w:bCs/>
          <w:highlight w:val="yellow"/>
        </w:rPr>
        <w:t>Cocquio Trevisago</w:t>
      </w:r>
      <w:r>
        <w:rPr>
          <w:rFonts w:eastAsia="Calibri" w:cs=""/>
          <w:highlight w:val="yellow"/>
        </w:rPr>
        <w:t xml:space="preserve">, </w:t>
      </w:r>
      <w:r>
        <w:rPr>
          <w:rFonts w:cs="Times New Roman" w:ascii="Century Gothic" w:hAnsi="Century Gothic"/>
          <w:bCs/>
          <w:highlight w:val="yellow"/>
        </w:rPr>
        <w:t>Cuasso al Monte</w:t>
      </w:r>
      <w:r>
        <w:rPr>
          <w:rFonts w:eastAsia="Calibri" w:cs=""/>
          <w:highlight w:val="yellow"/>
        </w:rPr>
        <w:t xml:space="preserve">, </w:t>
      </w:r>
      <w:r>
        <w:rPr>
          <w:rFonts w:cs="Times New Roman" w:ascii="Century Gothic" w:hAnsi="Century Gothic"/>
          <w:bCs/>
          <w:highlight w:val="yellow"/>
        </w:rPr>
        <w:t>Cuveglio</w:t>
      </w:r>
      <w:r>
        <w:rPr>
          <w:rFonts w:eastAsia="Calibri" w:cs=""/>
          <w:highlight w:val="yellow"/>
        </w:rPr>
        <w:t xml:space="preserve">, </w:t>
      </w:r>
      <w:r>
        <w:rPr>
          <w:rFonts w:cs="Times New Roman" w:ascii="Century Gothic" w:hAnsi="Century Gothic"/>
          <w:bCs/>
          <w:highlight w:val="yellow"/>
        </w:rPr>
        <w:t>Cuvio</w:t>
      </w:r>
      <w:r>
        <w:rPr>
          <w:rFonts w:eastAsia="Calibri" w:cs=""/>
          <w:highlight w:val="yellow"/>
        </w:rPr>
        <w:t xml:space="preserve">, </w:t>
      </w:r>
      <w:r>
        <w:rPr>
          <w:rFonts w:cs="Times New Roman" w:ascii="Century Gothic" w:hAnsi="Century Gothic"/>
          <w:bCs/>
          <w:highlight w:val="yellow"/>
        </w:rPr>
        <w:t>Daverio</w:t>
      </w:r>
      <w:r>
        <w:rPr>
          <w:rFonts w:eastAsia="Calibri" w:cs=""/>
          <w:highlight w:val="yellow"/>
        </w:rPr>
        <w:t xml:space="preserve">, </w:t>
      </w:r>
      <w:r>
        <w:rPr>
          <w:rFonts w:cs="Times New Roman" w:ascii="Century Gothic" w:hAnsi="Century Gothic"/>
          <w:bCs/>
          <w:highlight w:val="yellow"/>
        </w:rPr>
        <w:t>Duno</w:t>
      </w:r>
      <w:r>
        <w:rPr>
          <w:rFonts w:eastAsia="Calibri" w:cs=""/>
          <w:highlight w:val="yellow"/>
        </w:rPr>
        <w:t xml:space="preserve">, </w:t>
      </w:r>
      <w:r>
        <w:rPr>
          <w:rFonts w:cs="Times New Roman" w:ascii="Century Gothic" w:hAnsi="Century Gothic"/>
          <w:bCs/>
          <w:highlight w:val="yellow"/>
        </w:rPr>
        <w:t>Ferno</w:t>
      </w:r>
      <w:r>
        <w:rPr>
          <w:rFonts w:eastAsia="Calibri" w:cs=""/>
          <w:highlight w:val="yellow"/>
        </w:rPr>
        <w:t xml:space="preserve">, </w:t>
      </w:r>
      <w:r>
        <w:rPr>
          <w:rFonts w:cs="Times New Roman" w:ascii="Century Gothic" w:hAnsi="Century Gothic"/>
          <w:bCs/>
          <w:highlight w:val="yellow"/>
        </w:rPr>
        <w:t>Ferrera,</w:t>
      </w:r>
      <w:r>
        <w:rPr>
          <w:rFonts w:eastAsia="Calibri" w:cs=""/>
          <w:highlight w:val="yellow"/>
        </w:rPr>
        <w:t xml:space="preserve">, </w:t>
      </w:r>
      <w:r>
        <w:rPr>
          <w:rFonts w:cs="Times New Roman" w:ascii="Century Gothic" w:hAnsi="Century Gothic"/>
          <w:bCs/>
          <w:highlight w:val="yellow"/>
        </w:rPr>
        <w:t>Galliate Lombardo</w:t>
      </w:r>
      <w:r>
        <w:rPr>
          <w:rFonts w:eastAsia="Calibri" w:cs=""/>
          <w:highlight w:val="yellow"/>
        </w:rPr>
        <w:t xml:space="preserve">, </w:t>
      </w:r>
      <w:r>
        <w:rPr>
          <w:rFonts w:cs="Times New Roman" w:ascii="Century Gothic" w:hAnsi="Century Gothic"/>
          <w:bCs/>
          <w:highlight w:val="yellow"/>
        </w:rPr>
        <w:t>Gavirate, Gemonio</w:t>
      </w:r>
      <w:r>
        <w:rPr>
          <w:rFonts w:eastAsia="Calibri" w:cs=""/>
          <w:highlight w:val="yellow"/>
        </w:rPr>
        <w:t xml:space="preserve">, </w:t>
      </w:r>
      <w:r>
        <w:rPr>
          <w:rFonts w:cs="Times New Roman" w:ascii="Century Gothic" w:hAnsi="Century Gothic"/>
          <w:bCs/>
          <w:highlight w:val="yellow"/>
        </w:rPr>
        <w:t>Gerenzano</w:t>
      </w:r>
      <w:r>
        <w:rPr>
          <w:rFonts w:eastAsia="Calibri" w:cs=""/>
          <w:highlight w:val="yellow"/>
        </w:rPr>
        <w:t xml:space="preserve">, </w:t>
      </w:r>
      <w:r>
        <w:rPr>
          <w:rFonts w:cs="Times New Roman" w:ascii="Century Gothic" w:hAnsi="Century Gothic"/>
          <w:bCs/>
          <w:highlight w:val="yellow"/>
        </w:rPr>
        <w:t>Induno di Olona</w:t>
      </w:r>
      <w:r>
        <w:rPr>
          <w:rFonts w:eastAsia="Calibri" w:cs=""/>
          <w:highlight w:val="yellow"/>
        </w:rPr>
        <w:t xml:space="preserve">, </w:t>
      </w:r>
      <w:r>
        <w:rPr>
          <w:rFonts w:cs="Times New Roman" w:ascii="Century Gothic" w:hAnsi="Century Gothic"/>
          <w:bCs/>
          <w:highlight w:val="yellow"/>
        </w:rPr>
        <w:t>Ispra</w:t>
      </w:r>
      <w:r>
        <w:rPr>
          <w:rFonts w:eastAsia="Calibri" w:cs=""/>
          <w:highlight w:val="yellow"/>
        </w:rPr>
        <w:t xml:space="preserve">, </w:t>
      </w:r>
      <w:r>
        <w:rPr>
          <w:rFonts w:cs="Times New Roman" w:ascii="Century Gothic" w:hAnsi="Century Gothic"/>
          <w:bCs/>
          <w:highlight w:val="yellow"/>
        </w:rPr>
        <w:t>Lonate Pozzolo</w:t>
      </w:r>
      <w:r>
        <w:rPr>
          <w:rFonts w:eastAsia="Calibri" w:cs=""/>
          <w:highlight w:val="yellow"/>
        </w:rPr>
        <w:t xml:space="preserve">, </w:t>
      </w:r>
      <w:r>
        <w:rPr>
          <w:rFonts w:cs="Times New Roman" w:ascii="Century Gothic" w:hAnsi="Century Gothic"/>
          <w:bCs/>
          <w:highlight w:val="yellow"/>
        </w:rPr>
        <w:t>Luino</w:t>
      </w:r>
      <w:r>
        <w:rPr>
          <w:rFonts w:eastAsia="Calibri" w:cs=""/>
          <w:highlight w:val="yellow"/>
        </w:rPr>
        <w:t xml:space="preserve">, </w:t>
      </w:r>
      <w:r>
        <w:rPr>
          <w:rFonts w:cs="Times New Roman" w:ascii="Century Gothic" w:hAnsi="Century Gothic"/>
          <w:bCs/>
          <w:highlight w:val="yellow"/>
        </w:rPr>
        <w:t>Malnate</w:t>
      </w:r>
      <w:r>
        <w:rPr>
          <w:rFonts w:eastAsia="Calibri" w:cs=""/>
          <w:highlight w:val="yellow"/>
        </w:rPr>
        <w:t xml:space="preserve">, </w:t>
      </w:r>
      <w:r>
        <w:rPr>
          <w:rFonts w:cs="Times New Roman" w:ascii="Century Gothic" w:hAnsi="Century Gothic"/>
          <w:bCs/>
          <w:highlight w:val="yellow"/>
        </w:rPr>
        <w:t>Masciago Primo</w:t>
      </w:r>
      <w:r>
        <w:rPr>
          <w:rFonts w:eastAsia="Calibri" w:cs=""/>
          <w:highlight w:val="yellow"/>
        </w:rPr>
        <w:t xml:space="preserve">, </w:t>
      </w:r>
      <w:r>
        <w:rPr>
          <w:rFonts w:cs="Times New Roman" w:ascii="Century Gothic" w:hAnsi="Century Gothic"/>
          <w:bCs/>
          <w:highlight w:val="yellow"/>
        </w:rPr>
        <w:t>Monvalle</w:t>
      </w:r>
      <w:r>
        <w:rPr>
          <w:rFonts w:eastAsia="Calibri" w:cs=""/>
          <w:highlight w:val="yellow"/>
        </w:rPr>
        <w:t xml:space="preserve">, </w:t>
      </w:r>
      <w:r>
        <w:rPr>
          <w:rFonts w:cs="Times New Roman" w:ascii="Century Gothic" w:hAnsi="Century Gothic"/>
          <w:bCs/>
          <w:highlight w:val="yellow"/>
        </w:rPr>
        <w:t>Olgiate Olona</w:t>
      </w:r>
      <w:r>
        <w:rPr>
          <w:rFonts w:eastAsia="Calibri" w:cs=""/>
          <w:highlight w:val="yellow"/>
        </w:rPr>
        <w:t xml:space="preserve">, </w:t>
      </w:r>
      <w:r>
        <w:rPr>
          <w:rFonts w:cs="Times New Roman" w:ascii="Century Gothic" w:hAnsi="Century Gothic"/>
          <w:bCs/>
          <w:highlight w:val="yellow"/>
        </w:rPr>
        <w:t>Orino</w:t>
      </w:r>
      <w:r>
        <w:rPr>
          <w:rFonts w:eastAsia="Calibri" w:cs=""/>
          <w:highlight w:val="yellow"/>
        </w:rPr>
        <w:t xml:space="preserve">, </w:t>
      </w:r>
      <w:r>
        <w:rPr>
          <w:rFonts w:cs="Times New Roman" w:ascii="Century Gothic" w:hAnsi="Century Gothic"/>
          <w:bCs/>
          <w:highlight w:val="yellow"/>
        </w:rPr>
        <w:t>Porto Ceresio</w:t>
      </w:r>
      <w:r>
        <w:rPr>
          <w:rFonts w:eastAsia="Calibri" w:cs=""/>
          <w:highlight w:val="yellow"/>
        </w:rPr>
        <w:t xml:space="preserve">, </w:t>
      </w:r>
      <w:r>
        <w:rPr>
          <w:rFonts w:cs="Times New Roman" w:ascii="Century Gothic" w:hAnsi="Century Gothic"/>
          <w:bCs/>
          <w:highlight w:val="yellow"/>
        </w:rPr>
        <w:t>Sangiano</w:t>
      </w:r>
      <w:r>
        <w:rPr>
          <w:rFonts w:eastAsia="Calibri" w:cs=""/>
          <w:highlight w:val="yellow"/>
        </w:rPr>
        <w:t xml:space="preserve">, </w:t>
      </w:r>
      <w:r>
        <w:rPr>
          <w:rFonts w:cs="Times New Roman" w:ascii="Century Gothic" w:hAnsi="Century Gothic"/>
          <w:bCs/>
          <w:highlight w:val="yellow"/>
        </w:rPr>
        <w:t>Saronno</w:t>
      </w:r>
      <w:r>
        <w:rPr>
          <w:rFonts w:eastAsia="Calibri" w:cs=""/>
          <w:highlight w:val="yellow"/>
        </w:rPr>
        <w:t xml:space="preserve">, </w:t>
      </w:r>
      <w:r>
        <w:rPr>
          <w:rFonts w:cs="Times New Roman" w:ascii="Century Gothic" w:hAnsi="Century Gothic"/>
          <w:bCs/>
          <w:highlight w:val="yellow"/>
        </w:rPr>
        <w:t>Sesto Calende</w:t>
      </w:r>
      <w:r>
        <w:rPr>
          <w:rFonts w:eastAsia="Calibri" w:cs=""/>
          <w:highlight w:val="yellow"/>
        </w:rPr>
        <w:t xml:space="preserve">, </w:t>
      </w:r>
      <w:r>
        <w:rPr>
          <w:rFonts w:cs="Times New Roman" w:ascii="Century Gothic" w:hAnsi="Century Gothic"/>
          <w:bCs/>
          <w:highlight w:val="yellow"/>
        </w:rPr>
        <w:t>Solbiate Olona</w:t>
      </w:r>
      <w:r>
        <w:rPr>
          <w:rFonts w:eastAsia="Calibri" w:cs=""/>
          <w:highlight w:val="yellow"/>
        </w:rPr>
        <w:t xml:space="preserve">, </w:t>
      </w:r>
      <w:r>
        <w:rPr>
          <w:rFonts w:cs="Times New Roman" w:ascii="Century Gothic" w:hAnsi="Century Gothic"/>
          <w:bCs/>
          <w:highlight w:val="yellow"/>
        </w:rPr>
        <w:t>Somma Lombardo</w:t>
      </w:r>
      <w:r>
        <w:rPr>
          <w:rFonts w:eastAsia="Calibri" w:cs=""/>
          <w:highlight w:val="yellow"/>
        </w:rPr>
        <w:t xml:space="preserve">, </w:t>
      </w:r>
      <w:r>
        <w:rPr>
          <w:rFonts w:cs="Times New Roman" w:ascii="Century Gothic" w:hAnsi="Century Gothic"/>
          <w:bCs/>
          <w:highlight w:val="yellow"/>
        </w:rPr>
        <w:t>Tradate</w:t>
      </w:r>
      <w:r>
        <w:rPr>
          <w:rFonts w:eastAsia="Calibri" w:cs=""/>
          <w:highlight w:val="yellow"/>
        </w:rPr>
        <w:t xml:space="preserve">, </w:t>
      </w:r>
      <w:r>
        <w:rPr>
          <w:rFonts w:cs="Times New Roman" w:ascii="Century Gothic" w:hAnsi="Century Gothic"/>
          <w:bCs/>
          <w:highlight w:val="yellow"/>
        </w:rPr>
        <w:t>Venegono Superiore</w:t>
      </w:r>
      <w:r>
        <w:rPr>
          <w:rFonts w:eastAsia="Calibri" w:cs=""/>
          <w:highlight w:val="yellow"/>
        </w:rPr>
        <w:t xml:space="preserve">, </w:t>
      </w:r>
      <w:r>
        <w:rPr>
          <w:rFonts w:cs="Times New Roman" w:ascii="Century Gothic" w:hAnsi="Century Gothic"/>
          <w:bCs/>
          <w:highlight w:val="yellow"/>
        </w:rPr>
        <w:t>Viggiù</w:t>
      </w:r>
      <w:r>
        <w:rPr>
          <w:rFonts w:eastAsia="Calibri" w:cs=""/>
          <w:highlight w:val="yellow"/>
        </w:rPr>
        <w:t xml:space="preserve">, </w:t>
      </w:r>
      <w:r>
        <w:rPr>
          <w:rFonts w:cs="Times New Roman" w:ascii="Century Gothic" w:hAnsi="Century Gothic"/>
          <w:bCs/>
          <w:highlight w:val="yellow"/>
        </w:rPr>
        <w:t>Vedano Olona</w:t>
      </w:r>
      <w:r>
        <w:rPr>
          <w:rFonts w:eastAsia="Calibri" w:cs=""/>
          <w:highlight w:val="yellow"/>
        </w:rPr>
        <w:t xml:space="preserve"> </w:t>
      </w:r>
      <w:r>
        <w:rPr>
          <w:rFonts w:cs="Times New Roman" w:ascii="Century Gothic" w:hAnsi="Century Gothic"/>
          <w:highlight w:val="yellow"/>
        </w:rPr>
        <w:t>e</w:t>
      </w:r>
      <w:r>
        <w:rPr>
          <w:rFonts w:eastAsia="Calibri" w:cs=""/>
          <w:highlight w:val="yellow"/>
        </w:rPr>
        <w:t xml:space="preserve"> </w:t>
      </w:r>
      <w:r>
        <w:rPr>
          <w:rFonts w:cs="Times New Roman" w:ascii="Century Gothic" w:hAnsi="Century Gothic"/>
          <w:bCs/>
          <w:highlight w:val="yellow"/>
        </w:rPr>
        <w:t>Venegono Inferiore</w:t>
      </w:r>
      <w:bookmarkEnd w:id="9"/>
      <w:r>
        <w:rPr>
          <w:rFonts w:cs="Times New Roman" w:ascii="Century Gothic" w:hAnsi="Century Gothic"/>
          <w:bCs/>
          <w:highlight w:val="yellow"/>
        </w:rPr>
        <w:t>,</w:t>
      </w:r>
      <w:r>
        <w:rPr>
          <w:rFonts w:cs="Times New Roman" w:ascii="Century Gothic" w:hAnsi="Century Gothic"/>
          <w:bCs/>
        </w:rPr>
        <w:t xml:space="preserve"> Trenord s.r.l., R.F.I., Ferrovie Nord S.P.A. e l’Agenzia per il Trasporto Pubblico Locale del bacino di Como, Lecco e Varese</w:t>
      </w:r>
      <w:r>
        <w:rPr>
          <w:rFonts w:cs="Times New Roman" w:ascii="Century Gothic" w:hAnsi="Century Gothic"/>
        </w:rPr>
        <w:t xml:space="preserve"> in relazione alle proprie rispettive competenze e attribuzioni, si impegnano ad incrementare la promozione di azioni coordinate e integrate, soprattutto nelle ore serali, volte a garantire le migliori condizioni di sicurezza sui treni, nelle stazioni ferroviarie e nelle autostazioni insistenti nel territorio della provincia di Varese.</w:t>
      </w:r>
    </w:p>
    <w:p>
      <w:pPr>
        <w:pStyle w:val="ListParagraph"/>
        <w:numPr>
          <w:ilvl w:val="0"/>
          <w:numId w:val="3"/>
        </w:numPr>
        <w:spacing w:lineRule="auto" w:line="276" w:before="120" w:after="120"/>
        <w:contextualSpacing/>
        <w:jc w:val="both"/>
        <w:rPr>
          <w:rFonts w:cs="Times New Roman" w:ascii="Century Gothic" w:hAnsi="Century Gothic"/>
          <w:b w:val="false"/>
          <w:bCs w:val="false"/>
          <w:color w:val="000000"/>
        </w:rPr>
      </w:pPr>
      <w:r>
        <w:rPr>
          <w:rFonts w:cs="Times New Roman" w:ascii="Century Gothic" w:hAnsi="Century Gothic"/>
          <w:b w:val="false"/>
          <w:bCs w:val="false"/>
          <w:color w:val="000000"/>
        </w:rPr>
        <w:t xml:space="preserve">Gli altri Comuni della provincia di Varese sul cui territorio si trovi una stazione ferroviaria o che comunque vogliano aderire per partecipare con proprio personale all’espletamento dei servizi di polizia locale nei comuni sede di stazione ferroviaria comunicheranno la propria volontà di adesione alla Prefettura di Varese ed al rispettivo Comune capofila.  </w:t>
      </w:r>
    </w:p>
    <w:p>
      <w:pPr>
        <w:pStyle w:val="Normal"/>
        <w:widowControl w:val="false"/>
        <w:spacing w:lineRule="auto" w:line="276" w:before="0" w:after="0"/>
        <w:jc w:val="center"/>
        <w:rPr>
          <w:rFonts w:cs="Times New Roman" w:ascii="Century Gothic" w:hAnsi="Century Gothic"/>
          <w:b/>
          <w:bCs/>
        </w:rPr>
      </w:pPr>
      <w:r>
        <w:rPr>
          <w:rFonts w:cs="Times New Roman" w:ascii="Century Gothic" w:hAnsi="Century Gothic"/>
          <w:b/>
          <w:bCs/>
        </w:rPr>
      </w:r>
    </w:p>
    <w:p>
      <w:pPr>
        <w:pStyle w:val="Normal"/>
        <w:widowControl w:val="false"/>
        <w:spacing w:lineRule="auto" w:line="276" w:before="0" w:after="0"/>
        <w:jc w:val="center"/>
        <w:rPr>
          <w:rFonts w:cs="Times New Roman" w:ascii="Century Gothic" w:hAnsi="Century Gothic"/>
          <w:b/>
          <w:bCs/>
        </w:rPr>
      </w:pPr>
      <w:r>
        <w:rPr>
          <w:rFonts w:cs="Times New Roman" w:ascii="Century Gothic" w:hAnsi="Century Gothic"/>
          <w:b/>
          <w:bCs/>
        </w:rPr>
        <w:t xml:space="preserve">ART. 2  </w:t>
      </w:r>
    </w:p>
    <w:p>
      <w:pPr>
        <w:pStyle w:val="Normal"/>
        <w:widowControl w:val="false"/>
        <w:spacing w:lineRule="auto" w:line="276" w:before="0" w:after="0"/>
        <w:jc w:val="center"/>
        <w:rPr>
          <w:rFonts w:cs="Times New Roman" w:ascii="Century Gothic" w:hAnsi="Century Gothic"/>
          <w:b/>
          <w:bCs/>
        </w:rPr>
      </w:pPr>
      <w:r>
        <w:rPr>
          <w:rFonts w:cs="Times New Roman" w:ascii="Century Gothic" w:hAnsi="Century Gothic"/>
          <w:b/>
          <w:bCs/>
        </w:rPr>
        <w:t>IMPEGNI DELLA PREFETTURA DI VARESE</w:t>
      </w:r>
    </w:p>
    <w:p>
      <w:pPr>
        <w:pStyle w:val="Normal"/>
        <w:widowControl w:val="false"/>
        <w:spacing w:lineRule="auto" w:line="276" w:before="0" w:after="0"/>
        <w:jc w:val="center"/>
        <w:rPr>
          <w:rFonts w:cs="Times New Roman" w:ascii="Century Gothic" w:hAnsi="Century Gothic"/>
          <w:b/>
          <w:bCs/>
        </w:rPr>
      </w:pPr>
      <w:r>
        <w:rPr>
          <w:rFonts w:cs="Times New Roman" w:ascii="Century Gothic" w:hAnsi="Century Gothic"/>
          <w:b/>
          <w:bCs/>
        </w:rPr>
        <w:t xml:space="preserve"> </w:t>
      </w:r>
    </w:p>
    <w:p>
      <w:pPr>
        <w:pStyle w:val="Default"/>
        <w:numPr>
          <w:ilvl w:val="0"/>
          <w:numId w:val="4"/>
        </w:numPr>
        <w:spacing w:lineRule="auto" w:line="276"/>
        <w:rPr>
          <w:rFonts w:cs="Times New Roman" w:ascii="Century Gothic" w:hAnsi="Century Gothic"/>
          <w:color w:val="00000A"/>
          <w:sz w:val="22"/>
          <w:szCs w:val="22"/>
        </w:rPr>
      </w:pPr>
      <w:r>
        <w:rPr>
          <w:rFonts w:cs="Times New Roman" w:ascii="Century Gothic" w:hAnsi="Century Gothic"/>
          <w:color w:val="00000A"/>
          <w:sz w:val="22"/>
          <w:szCs w:val="22"/>
        </w:rPr>
        <w:t>La Prefettura di Varese:</w:t>
      </w:r>
    </w:p>
    <w:p>
      <w:pPr>
        <w:pStyle w:val="Default"/>
        <w:numPr>
          <w:ilvl w:val="1"/>
          <w:numId w:val="4"/>
        </w:numPr>
        <w:spacing w:lineRule="auto" w:line="276"/>
        <w:ind w:left="1134" w:right="0" w:hanging="360"/>
        <w:jc w:val="both"/>
        <w:rPr>
          <w:rFonts w:cs="Times New Roman" w:ascii="Century Gothic" w:hAnsi="Century Gothic"/>
          <w:color w:val="00000A"/>
          <w:sz w:val="22"/>
          <w:szCs w:val="22"/>
        </w:rPr>
      </w:pPr>
      <w:r>
        <w:rPr>
          <w:rFonts w:cs="Times New Roman" w:ascii="Century Gothic" w:hAnsi="Century Gothic"/>
          <w:color w:val="00000A"/>
          <w:sz w:val="22"/>
          <w:szCs w:val="22"/>
        </w:rPr>
        <w:t>in sede di Comitato Provinciale per l’Ordine e la Sicurezza Pubblica, anche allargato, se necessario, ad altri soggetti interessati, sulla base di informazioni fornite dagli Enti, individuerà e valuterà le criticità nelle aree oggetto del presente Accordo, disponendo l’attuazione di mirati servizi di prevenzione, controllo e contrasto dei fenomeni illegali con il coinvolgimento delle Polizie Locali, demandandone l’organizzazione e la gestione operativa ed attuativa ad intese di carattere tecnico tra le Forze di polizia, secondo modalità determinate in sede locale;</w:t>
      </w:r>
    </w:p>
    <w:p>
      <w:pPr>
        <w:pStyle w:val="Default"/>
        <w:numPr>
          <w:ilvl w:val="1"/>
          <w:numId w:val="4"/>
        </w:numPr>
        <w:spacing w:lineRule="auto" w:line="276"/>
        <w:ind w:left="1134" w:right="0" w:hanging="360"/>
        <w:jc w:val="both"/>
        <w:rPr>
          <w:rFonts w:cs="Times New Roman" w:ascii="Century Gothic" w:hAnsi="Century Gothic"/>
          <w:color w:val="00000A"/>
          <w:sz w:val="22"/>
          <w:szCs w:val="22"/>
        </w:rPr>
      </w:pPr>
      <w:r>
        <w:rPr>
          <w:rFonts w:cs="Times New Roman" w:ascii="Century Gothic" w:hAnsi="Century Gothic"/>
          <w:color w:val="00000A"/>
          <w:sz w:val="22"/>
          <w:szCs w:val="22"/>
        </w:rPr>
        <w:t>manterrà e svilupperà, d’intesa con i Sindaci, scambi di informazioni tra le Forze di polizia a competenza generale e le Polizie Locali, sulle materie oggetto di attività coordinata;</w:t>
      </w:r>
    </w:p>
    <w:p>
      <w:pPr>
        <w:pStyle w:val="Default"/>
        <w:numPr>
          <w:ilvl w:val="1"/>
          <w:numId w:val="4"/>
        </w:numPr>
        <w:spacing w:lineRule="auto" w:line="276"/>
        <w:ind w:left="1134" w:right="0" w:hanging="360"/>
        <w:jc w:val="both"/>
        <w:rPr>
          <w:rFonts w:cs="Times New Roman" w:ascii="Century Gothic" w:hAnsi="Century Gothic"/>
          <w:color w:val="00000A"/>
          <w:sz w:val="22"/>
          <w:szCs w:val="22"/>
        </w:rPr>
      </w:pPr>
      <w:r>
        <w:rPr>
          <w:rFonts w:cs="Times New Roman" w:ascii="Century Gothic" w:hAnsi="Century Gothic"/>
          <w:color w:val="00000A"/>
          <w:sz w:val="22"/>
          <w:szCs w:val="22"/>
        </w:rPr>
        <w:t xml:space="preserve">le Associazioni delle Forze dell’Ordine in congedo potranno essere coinvolte dal Prefetto in un eventuale affiancamento alle Forze di polizia in servizio, nei limiti delle competenze statutarie e regolamentarie delle rispettive Associazioni. </w:t>
      </w:r>
    </w:p>
    <w:p>
      <w:pPr>
        <w:pStyle w:val="Default"/>
        <w:spacing w:lineRule="auto" w:line="276"/>
        <w:ind w:left="720" w:right="0" w:hanging="0"/>
        <w:jc w:val="both"/>
        <w:rPr>
          <w:rFonts w:cs="Times New Roman" w:ascii="Century Gothic" w:hAnsi="Century Gothic"/>
          <w:color w:val="00000A"/>
          <w:sz w:val="22"/>
          <w:szCs w:val="22"/>
        </w:rPr>
      </w:pPr>
      <w:r>
        <w:rPr>
          <w:rFonts w:cs="Times New Roman" w:ascii="Century Gothic" w:hAnsi="Century Gothic"/>
          <w:color w:val="00000A"/>
          <w:sz w:val="22"/>
          <w:szCs w:val="22"/>
        </w:rPr>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 xml:space="preserve">ART. 3 </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IMPEGNI DEI COMUNI DI VARESE – BUSTO ARSIZIO – GALLARATE</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r>
    </w:p>
    <w:p>
      <w:pPr>
        <w:pStyle w:val="ListParagraph"/>
        <w:numPr>
          <w:ilvl w:val="0"/>
          <w:numId w:val="5"/>
        </w:numPr>
        <w:tabs>
          <w:tab w:val="left" w:pos="4064" w:leader="none"/>
        </w:tabs>
        <w:spacing w:lineRule="auto" w:line="276" w:before="0" w:after="0"/>
        <w:contextualSpacing/>
        <w:jc w:val="both"/>
        <w:rPr>
          <w:rFonts w:cs="Times New Roman" w:ascii="Century Gothic" w:hAnsi="Century Gothic"/>
        </w:rPr>
      </w:pPr>
      <w:r>
        <w:rPr>
          <w:rFonts w:cs="Times New Roman" w:ascii="Century Gothic" w:hAnsi="Century Gothic"/>
        </w:rPr>
        <w:t>I Comuni di Varese, Busto Arsizio e Gallarate sono capofila per gli Enti locali aderenti al presente Accordo e promuovono i servizi di Polizia locale utili al raggiungimento degli obiettivi dello stesso.</w:t>
      </w:r>
    </w:p>
    <w:p>
      <w:pPr>
        <w:pStyle w:val="ListParagraph"/>
        <w:numPr>
          <w:ilvl w:val="0"/>
          <w:numId w:val="5"/>
        </w:numPr>
        <w:tabs>
          <w:tab w:val="left" w:pos="4064" w:leader="none"/>
        </w:tabs>
        <w:spacing w:lineRule="auto" w:line="276" w:before="0" w:after="0"/>
        <w:contextualSpacing/>
        <w:jc w:val="both"/>
        <w:rPr>
          <w:rFonts w:cs="Times New Roman" w:ascii="Century Gothic" w:hAnsi="Century Gothic"/>
        </w:rPr>
      </w:pPr>
      <w:r>
        <w:rPr>
          <w:rFonts w:cs="Times New Roman" w:ascii="Century Gothic" w:hAnsi="Century Gothic"/>
        </w:rPr>
        <w:t xml:space="preserve">I Comuni di Varese, Busto Arsizio e Gallarate </w:t>
      </w:r>
      <w:bookmarkStart w:id="10" w:name="_Hlk83216953"/>
      <w:r>
        <w:rPr>
          <w:rFonts w:cs="Times New Roman" w:ascii="Century Gothic" w:hAnsi="Century Gothic"/>
        </w:rPr>
        <w:t>si impegnano a realizzare il progetto sperimentale per il presidio congiunto e coordinato nelle stazioni dei Comuni di cui sono capofila, condiviso con la Prefettura di Varese e Regione Lombardia.</w:t>
      </w:r>
      <w:bookmarkEnd w:id="10"/>
      <w:r>
        <w:rPr>
          <w:rFonts w:cs="Times New Roman" w:ascii="Century Gothic" w:hAnsi="Century Gothic"/>
        </w:rPr>
        <w:t xml:space="preserve"> </w:t>
      </w:r>
    </w:p>
    <w:p>
      <w:pPr>
        <w:pStyle w:val="ListParagraph"/>
        <w:numPr>
          <w:ilvl w:val="0"/>
          <w:numId w:val="5"/>
        </w:numPr>
        <w:tabs>
          <w:tab w:val="left" w:pos="4064" w:leader="none"/>
        </w:tabs>
        <w:spacing w:lineRule="auto" w:line="276" w:before="0" w:after="0"/>
        <w:contextualSpacing/>
        <w:jc w:val="both"/>
        <w:rPr>
          <w:rFonts w:cs="Times New Roman" w:ascii="Century Gothic" w:hAnsi="Century Gothic"/>
        </w:rPr>
      </w:pPr>
      <w:r>
        <w:rPr>
          <w:rFonts w:cs="Times New Roman" w:ascii="Century Gothic" w:hAnsi="Century Gothic"/>
        </w:rPr>
        <w:t xml:space="preserve">I Comuni di Varese, Busto Arsizio e Gallarate congiuntamente agli altri Comuni aderenti, riferiscono alla Prefettura di Varese, nel corso delle sedute del Comitato Provinciale per l'Ordine e la Sicurezza Pubblica, le problematiche territoriali di sicurezza urbana incidenti sulle aree delle stazioni, le attività di pattugliamento che si intendono attivare e gli esiti delle stesse. </w:t>
      </w:r>
    </w:p>
    <w:p>
      <w:pPr>
        <w:pStyle w:val="ListParagraph"/>
        <w:numPr>
          <w:ilvl w:val="0"/>
          <w:numId w:val="5"/>
        </w:numPr>
        <w:tabs>
          <w:tab w:val="left" w:pos="4064" w:leader="none"/>
        </w:tabs>
        <w:spacing w:lineRule="auto" w:line="276" w:before="120" w:after="120"/>
        <w:contextualSpacing/>
        <w:jc w:val="both"/>
        <w:rPr>
          <w:rFonts w:cs="Times New Roman" w:ascii="Century Gothic" w:hAnsi="Century Gothic"/>
        </w:rPr>
      </w:pPr>
      <w:r>
        <w:rPr>
          <w:rFonts w:cs="Times New Roman" w:ascii="Century Gothic" w:hAnsi="Century Gothic"/>
        </w:rPr>
        <w:t xml:space="preserve">La </w:t>
      </w:r>
      <w:r>
        <w:rPr>
          <w:rFonts w:cs="Times New Roman" w:ascii="Century Gothic" w:hAnsi="Century Gothic"/>
          <w:bCs/>
        </w:rPr>
        <w:t>Polizia Ferroviaria, quale specialità della Polizia di Stato</w:t>
      </w:r>
      <w:r>
        <w:rPr>
          <w:rFonts w:cs="Times New Roman" w:ascii="Century Gothic" w:hAnsi="Century Gothic"/>
        </w:rPr>
        <w:t xml:space="preserve">, i Carabinieri e le Polizie Locali mantengono ciascuna la propria autonomia operativa, organizzativa e finanziaria, anche con riferimento alla gestione dei rispettivi operatori. </w:t>
      </w:r>
    </w:p>
    <w:p>
      <w:pPr>
        <w:pStyle w:val="ListParagraph"/>
        <w:numPr>
          <w:ilvl w:val="0"/>
          <w:numId w:val="5"/>
        </w:numPr>
        <w:tabs>
          <w:tab w:val="left" w:pos="4064" w:leader="none"/>
        </w:tabs>
        <w:spacing w:lineRule="auto" w:line="276" w:before="120" w:after="120"/>
        <w:contextualSpacing/>
        <w:jc w:val="both"/>
        <w:rPr>
          <w:rFonts w:cs="Times New Roman" w:ascii="Century Gothic" w:hAnsi="Century Gothic"/>
          <w:b w:val="false"/>
          <w:bCs w:val="false"/>
        </w:rPr>
      </w:pPr>
      <w:r>
        <w:rPr>
          <w:rFonts w:cs="Times New Roman" w:ascii="Century Gothic" w:hAnsi="Century Gothic"/>
          <w:b w:val="false"/>
          <w:bCs w:val="false"/>
        </w:rPr>
        <w:t>Il personale delle Polizie Locali opera, anche al di fuori del territorio dell’ente di appartenenza, nei siti stabiliti nell’ambito degli Enti aderenti all’Accordo, in base a modalità concordate/coordinate tra i vari Comandi/Servizi di Polizia Locale e in adesione agli atti di indirizzo e coordinamento della Prefettura di Varese o delle Autorità da essa indicate e/o delegate. Sarà comunque cura dei Comuni di Varese, Busto Arsizio e Gallarate assicurare la preventiva informazione dei servizi alla Forze dell’Ordine compenti per territorio e alla Prefettura anche ai fini dell’art. 4 lettera c) della L. 65/86.</w:t>
      </w:r>
    </w:p>
    <w:p>
      <w:pPr>
        <w:pStyle w:val="ListParagraph"/>
        <w:numPr>
          <w:ilvl w:val="0"/>
          <w:numId w:val="5"/>
        </w:numPr>
        <w:tabs>
          <w:tab w:val="left" w:pos="4064" w:leader="none"/>
        </w:tabs>
        <w:spacing w:lineRule="auto" w:line="276" w:before="120" w:after="120"/>
        <w:contextualSpacing/>
        <w:jc w:val="both"/>
        <w:rPr>
          <w:rFonts w:cs="Times New Roman" w:ascii="Century Gothic" w:hAnsi="Century Gothic"/>
        </w:rPr>
      </w:pPr>
      <w:r>
        <w:rPr>
          <w:rFonts w:cs="Times New Roman" w:ascii="Century Gothic" w:hAnsi="Century Gothic"/>
        </w:rPr>
        <w:t>Gli Enti Locali, parti del presente Accordo, attivano iniziative volte anche a coinvolgere la cittadinanza ed il volontariato per rivitalizzare le stazioni e le rispettive aree limitrofe, anche destinando, con l’adozione degli atti necessari, locali delle stazioni, non più impiegati ai fini dell’esercizio ferroviario, alla fruizione delle associazioni individuate dal singolo comune attraverso apposita convenzione.</w:t>
      </w:r>
    </w:p>
    <w:p>
      <w:pPr>
        <w:pStyle w:val="ListParagraph"/>
        <w:numPr>
          <w:ilvl w:val="0"/>
          <w:numId w:val="5"/>
        </w:numPr>
        <w:tabs>
          <w:tab w:val="left" w:pos="4064" w:leader="none"/>
        </w:tabs>
        <w:spacing w:lineRule="auto" w:line="276" w:before="120" w:after="120"/>
        <w:contextualSpacing/>
        <w:jc w:val="both"/>
        <w:rPr>
          <w:rFonts w:cs="Times New Roman" w:ascii="Century Gothic" w:hAnsi="Century Gothic"/>
          <w:color w:val="000000"/>
        </w:rPr>
      </w:pPr>
      <w:r>
        <w:rPr>
          <w:rFonts w:cs="Times New Roman" w:ascii="Century Gothic" w:hAnsi="Century Gothic"/>
          <w:color w:val="000000"/>
        </w:rPr>
        <w:t xml:space="preserve">L’adesione dei restanti enti locali potrà perfezionarsi successivamente alla sottoscrizione del presente atto con comunicazione dell’atto alla Prefettura e al Comune capofila di riferimento che integrerà il proprio piano di lavoro/servizi con gli operatori e/o la stazione di detto comune. </w:t>
      </w:r>
    </w:p>
    <w:p>
      <w:pPr>
        <w:pStyle w:val="ListParagraph"/>
        <w:tabs>
          <w:tab w:val="left" w:pos="4064" w:leader="none"/>
        </w:tabs>
        <w:spacing w:lineRule="auto" w:line="276" w:before="120" w:after="120"/>
        <w:contextualSpacing/>
        <w:jc w:val="both"/>
        <w:rPr>
          <w:rFonts w:cs="Times New Roman" w:ascii="Century Gothic" w:hAnsi="Century Gothic"/>
        </w:rPr>
      </w:pPr>
      <w:r>
        <w:rPr>
          <w:rFonts w:cs="Times New Roman" w:ascii="Century Gothic" w:hAnsi="Century Gothic"/>
        </w:rPr>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 xml:space="preserve">ART. 4 </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IMPEGNI DI REGIONE LOMBARDIA</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r>
    </w:p>
    <w:p>
      <w:pPr>
        <w:pStyle w:val="ListParagraph"/>
        <w:numPr>
          <w:ilvl w:val="0"/>
          <w:numId w:val="6"/>
        </w:numPr>
        <w:spacing w:lineRule="auto" w:line="276" w:before="0" w:after="0"/>
        <w:contextualSpacing/>
        <w:jc w:val="both"/>
        <w:rPr>
          <w:rFonts w:cs="Times New Roman" w:ascii="Century Gothic" w:hAnsi="Century Gothic"/>
        </w:rPr>
      </w:pPr>
      <w:r>
        <w:rPr>
          <w:rFonts w:cs="Times New Roman" w:ascii="Century Gothic" w:hAnsi="Century Gothic"/>
        </w:rPr>
        <w:t xml:space="preserve">Regione Lombardia promuove servizi di controllo finalizzati a garantire la sicurezza urbana nelle stazioni ed aree limitrofe da parte delle Polizie Locali </w:t>
      </w:r>
      <w:r>
        <w:rPr>
          <w:rFonts w:cs="Times New Roman" w:ascii="Century Gothic" w:hAnsi="Century Gothic"/>
          <w:color w:val="000000"/>
        </w:rPr>
        <w:t>con un finanziamento complessivo sino a euro 30.000 per</w:t>
      </w:r>
      <w:r>
        <w:rPr>
          <w:rFonts w:cs="Times New Roman" w:ascii="Century Gothic" w:hAnsi="Century Gothic"/>
        </w:rPr>
        <w:t xml:space="preserve"> gli interventi che verranno espletati nel corso del 2022.</w:t>
      </w:r>
    </w:p>
    <w:p>
      <w:pPr>
        <w:pStyle w:val="Normal"/>
        <w:tabs>
          <w:tab w:val="left" w:pos="4064" w:leader="none"/>
        </w:tabs>
        <w:spacing w:lineRule="auto" w:line="276" w:before="0" w:after="0"/>
        <w:rPr>
          <w:rFonts w:cs="Times New Roman" w:ascii="Century Gothic" w:hAnsi="Century Gothic"/>
          <w:b/>
          <w:bCs/>
        </w:rPr>
      </w:pPr>
      <w:r>
        <w:rPr>
          <w:rFonts w:cs="Times New Roman" w:ascii="Century Gothic" w:hAnsi="Century Gothic"/>
          <w:b/>
          <w:bCs/>
        </w:rPr>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ART. 5</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IMPEGNI DI TRENORD</w:t>
      </w:r>
    </w:p>
    <w:p>
      <w:pPr>
        <w:pStyle w:val="ListParagraph"/>
        <w:numPr>
          <w:ilvl w:val="0"/>
          <w:numId w:val="12"/>
        </w:numPr>
        <w:spacing w:lineRule="auto" w:line="276" w:before="120" w:after="120"/>
        <w:contextualSpacing/>
        <w:jc w:val="both"/>
        <w:rPr>
          <w:rFonts w:cs="Times New Roman" w:ascii="Century Gothic" w:hAnsi="Century Gothic"/>
        </w:rPr>
      </w:pPr>
      <w:r>
        <w:rPr>
          <w:rFonts w:cs="Times New Roman" w:ascii="Century Gothic" w:hAnsi="Century Gothic"/>
        </w:rPr>
        <w:t xml:space="preserve">TRENORD si impegna a fornire al Compartimento Polizia Ferroviaria e alle Polizie locali coinvolte tutte le informazioni utili ed a facilitare la connessione con la sala operativa d’esercizio, mediante le dotazioni tecnologiche in uso (telefoni, </w:t>
      </w:r>
      <w:r>
        <w:rPr>
          <w:rFonts w:cs="Times New Roman" w:ascii="Century Gothic" w:hAnsi="Century Gothic"/>
          <w:i/>
          <w:iCs/>
        </w:rPr>
        <w:t xml:space="preserve">hardware </w:t>
      </w:r>
      <w:r>
        <w:rPr>
          <w:rFonts w:cs="Times New Roman" w:ascii="Century Gothic" w:hAnsi="Century Gothic"/>
        </w:rPr>
        <w:t>e</w:t>
      </w:r>
      <w:r>
        <w:rPr>
          <w:rFonts w:cs="Times New Roman" w:ascii="Century Gothic" w:hAnsi="Century Gothic"/>
          <w:i/>
          <w:iCs/>
        </w:rPr>
        <w:t xml:space="preserve"> software</w:t>
      </w:r>
      <w:bookmarkStart w:id="11" w:name="_Hlk83040685"/>
      <w:bookmarkEnd w:id="11"/>
      <w:r>
        <w:rPr>
          <w:rFonts w:cs="Times New Roman" w:ascii="Century Gothic" w:hAnsi="Century Gothic"/>
        </w:rPr>
        <w:t>), tenendo conto delle progettualità avviate dalla competente Direzione Centrale del Dipartimento della Pubblica Sicurezza (Direzione  Centrale dei Servizi Tecnico Logistici e della Gestione Patrimoniale), al fine di assicurare soluzioni tecnologiche  integrabili con le postazioni in uso agli operatori delle sale operative, evitando duplicazioni di apparecchiature e di applicativi informatici.</w:t>
      </w:r>
    </w:p>
    <w:p>
      <w:pPr>
        <w:pStyle w:val="ListParagraph"/>
        <w:spacing w:lineRule="auto" w:line="276" w:before="120" w:after="120"/>
        <w:contextualSpacing/>
        <w:rPr>
          <w:rFonts w:cs="Times New Roman" w:ascii="Century Gothic" w:hAnsi="Century Gothic"/>
        </w:rPr>
      </w:pPr>
      <w:r>
        <w:rPr>
          <w:rFonts w:cs="Times New Roman" w:ascii="Century Gothic" w:hAnsi="Century Gothic"/>
        </w:rPr>
      </w:r>
    </w:p>
    <w:p>
      <w:pPr>
        <w:pStyle w:val="ListParagraph"/>
        <w:spacing w:lineRule="auto" w:line="276" w:before="120" w:after="120"/>
        <w:contextualSpacing/>
        <w:rPr>
          <w:rFonts w:cs="Times New Roman" w:ascii="Century Gothic" w:hAnsi="Century Gothic"/>
        </w:rPr>
      </w:pPr>
      <w:r>
        <w:rPr>
          <w:rFonts w:cs="Times New Roman" w:ascii="Century Gothic" w:hAnsi="Century Gothic"/>
        </w:rPr>
      </w:r>
    </w:p>
    <w:p>
      <w:pPr>
        <w:pStyle w:val="ListParagraph"/>
        <w:spacing w:lineRule="auto" w:line="276" w:before="120" w:after="120"/>
        <w:contextualSpacing/>
        <w:rPr>
          <w:rFonts w:cs="Times New Roman" w:ascii="Century Gothic" w:hAnsi="Century Gothic"/>
          <w:b/>
        </w:rPr>
      </w:pPr>
      <w:r>
        <w:rPr>
          <w:rFonts w:cs="Times New Roman" w:ascii="Century Gothic" w:hAnsi="Century Gothic"/>
        </w:rPr>
        <w:tab/>
        <w:tab/>
        <w:tab/>
        <w:tab/>
        <w:tab/>
        <w:t xml:space="preserve">    </w:t>
      </w:r>
      <w:r>
        <w:rPr>
          <w:rFonts w:cs="Times New Roman" w:ascii="Century Gothic" w:hAnsi="Century Gothic"/>
          <w:b/>
        </w:rPr>
        <w:t>ART.6</w:t>
      </w:r>
    </w:p>
    <w:p>
      <w:pPr>
        <w:pStyle w:val="ListParagraph"/>
        <w:spacing w:lineRule="auto" w:line="276" w:before="120" w:after="120"/>
        <w:contextualSpacing/>
        <w:rPr>
          <w:rFonts w:cs="Times New Roman" w:ascii="Century Gothic" w:hAnsi="Century Gothic"/>
          <w:b/>
        </w:rPr>
      </w:pPr>
      <w:r>
        <w:rPr>
          <w:rFonts w:cs="Times New Roman" w:ascii="Century Gothic" w:hAnsi="Century Gothic"/>
          <w:b/>
        </w:rPr>
        <w:tab/>
        <w:tab/>
        <w:tab/>
        <w:t xml:space="preserve"> IMPEGNI DEI GESTORI DELLA RETE</w:t>
      </w:r>
    </w:p>
    <w:p>
      <w:pPr>
        <w:pStyle w:val="ListParagraph"/>
        <w:spacing w:lineRule="auto" w:line="276" w:before="120" w:after="120"/>
        <w:contextualSpacing/>
        <w:rPr>
          <w:rFonts w:cs="Times New Roman" w:ascii="Century Gothic" w:hAnsi="Century Gothic"/>
          <w:b/>
        </w:rPr>
      </w:pPr>
      <w:r>
        <w:rPr>
          <w:rFonts w:cs="Times New Roman" w:ascii="Century Gothic" w:hAnsi="Century Gothic"/>
          <w:b/>
        </w:rPr>
      </w:r>
    </w:p>
    <w:p>
      <w:pPr>
        <w:pStyle w:val="ListParagraph"/>
        <w:widowControl/>
        <w:bidi w:val="0"/>
        <w:spacing w:lineRule="auto" w:line="276" w:before="120" w:after="120"/>
        <w:ind w:left="340" w:right="0" w:hanging="0"/>
        <w:contextualSpacing/>
        <w:jc w:val="left"/>
        <w:rPr>
          <w:rFonts w:cs="Times New Roman" w:ascii="Century Gothic" w:hAnsi="Century Gothic"/>
          <w:b w:val="false"/>
          <w:bCs w:val="false"/>
          <w:color w:val="000000"/>
        </w:rPr>
      </w:pPr>
      <w:r>
        <w:rPr>
          <w:rFonts w:cs="Times New Roman" w:ascii="Century Gothic" w:hAnsi="Century Gothic"/>
          <w:b w:val="false"/>
          <w:bCs w:val="false"/>
          <w:color w:val="000000"/>
        </w:rPr>
        <w:t>1.  Ferrovie nord e R.F.I. si impegnano rispettivamente, nella loro qualità, a:</w:t>
      </w:r>
    </w:p>
    <w:p>
      <w:pPr>
        <w:pStyle w:val="ListParagraph"/>
        <w:widowControl/>
        <w:bidi w:val="0"/>
        <w:spacing w:lineRule="auto" w:line="276" w:before="120" w:after="120"/>
        <w:ind w:left="340" w:right="0" w:hanging="0"/>
        <w:contextualSpacing/>
        <w:jc w:val="both"/>
        <w:rPr>
          <w:rFonts w:cs="Times New Roman" w:ascii="Century Gothic" w:hAnsi="Century Gothic"/>
          <w:b w:val="false"/>
          <w:bCs w:val="false"/>
          <w:color w:val="000000"/>
        </w:rPr>
      </w:pPr>
      <w:r>
        <w:rPr>
          <w:rFonts w:cs="Times New Roman" w:ascii="Century Gothic" w:hAnsi="Century Gothic"/>
          <w:b w:val="false"/>
          <w:bCs w:val="false"/>
          <w:color w:val="000000"/>
        </w:rPr>
        <w:t>- verificare la possibilità di concedere in comodato, per i fini istituzionali, uno o più locali delle stazioni al Comune territorialmente competente o per il tramite di quest’ultimo ad una o più associazioni espressamente individuate;</w:t>
      </w:r>
    </w:p>
    <w:p>
      <w:pPr>
        <w:pStyle w:val="ListParagraph"/>
        <w:widowControl/>
        <w:bidi w:val="0"/>
        <w:spacing w:lineRule="auto" w:line="276" w:before="120" w:after="120"/>
        <w:ind w:left="340" w:right="0" w:hanging="0"/>
        <w:contextualSpacing/>
        <w:jc w:val="both"/>
        <w:rPr>
          <w:rFonts w:cs="Times New Roman" w:ascii="Century Gothic" w:hAnsi="Century Gothic"/>
          <w:b w:val="false"/>
          <w:bCs w:val="false"/>
          <w:color w:val="000000"/>
        </w:rPr>
      </w:pPr>
      <w:r>
        <w:rPr>
          <w:rFonts w:cs="Times New Roman" w:ascii="Century Gothic" w:hAnsi="Century Gothic"/>
          <w:b w:val="false"/>
          <w:bCs w:val="false"/>
          <w:color w:val="000000"/>
        </w:rPr>
        <w:t xml:space="preserve">- rendere disponibile i seguenti recapiti telefonici: </w:t>
      </w:r>
      <w:r>
        <w:rPr>
          <w:rFonts w:cs="Times New Roman" w:ascii="Century Gothic" w:hAnsi="Century Gothic"/>
          <w:b w:val="false"/>
          <w:bCs w:val="false"/>
          <w:color w:val="000000"/>
          <w:highlight w:val="yellow"/>
        </w:rPr>
        <w:t>___________________</w:t>
      </w:r>
      <w:r>
        <w:rPr>
          <w:rFonts w:cs="Times New Roman" w:ascii="Century Gothic" w:hAnsi="Century Gothic"/>
          <w:b w:val="false"/>
          <w:bCs w:val="false"/>
          <w:color w:val="000000"/>
        </w:rPr>
        <w:t>;</w:t>
      </w:r>
    </w:p>
    <w:p>
      <w:pPr>
        <w:pStyle w:val="ListParagraph"/>
        <w:widowControl/>
        <w:bidi w:val="0"/>
        <w:spacing w:lineRule="auto" w:line="276" w:before="120" w:after="120"/>
        <w:ind w:left="340" w:right="0" w:hanging="0"/>
        <w:contextualSpacing/>
        <w:jc w:val="both"/>
        <w:rPr>
          <w:rFonts w:cs="Times New Roman" w:ascii="Century Gothic" w:hAnsi="Century Gothic"/>
          <w:b w:val="false"/>
          <w:bCs w:val="false"/>
          <w:color w:val="000000"/>
        </w:rPr>
      </w:pPr>
      <w:r>
        <w:rPr>
          <w:rFonts w:cs="Times New Roman" w:ascii="Century Gothic" w:hAnsi="Century Gothic"/>
          <w:b w:val="false"/>
          <w:bCs w:val="false"/>
          <w:color w:val="000000"/>
        </w:rPr>
        <w:t xml:space="preserve">- rendere disponibile un servizio dedicato al ripristino del decoro del sito, a seguito di eventuali atti di vandalismo.   </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 xml:space="preserve">ART. 7 </w:t>
      </w:r>
    </w:p>
    <w:p>
      <w:pPr>
        <w:pStyle w:val="Normal"/>
        <w:tabs>
          <w:tab w:val="left" w:pos="4064" w:leader="none"/>
        </w:tabs>
        <w:spacing w:lineRule="auto" w:line="276" w:before="0" w:after="0"/>
        <w:jc w:val="center"/>
        <w:rPr>
          <w:rFonts w:cs="Times New Roman" w:ascii="Century Gothic" w:hAnsi="Century Gothic"/>
          <w:b/>
          <w:bCs/>
          <w:lang w:val="en-US"/>
        </w:rPr>
      </w:pPr>
      <w:r>
        <w:rPr>
          <w:rFonts w:cs="Times New Roman" w:ascii="Century Gothic" w:hAnsi="Century Gothic"/>
          <w:b/>
          <w:bCs/>
        </w:rPr>
        <w:t xml:space="preserve"> </w:t>
      </w:r>
      <w:r>
        <w:rPr>
          <w:rFonts w:cs="Times New Roman" w:ascii="Century Gothic" w:hAnsi="Century Gothic"/>
          <w:b/>
          <w:bCs/>
          <w:lang w:val="en-US"/>
        </w:rPr>
        <w:t>RISORSE STANZIATE</w:t>
      </w:r>
    </w:p>
    <w:p>
      <w:pPr>
        <w:pStyle w:val="Normal"/>
        <w:tabs>
          <w:tab w:val="left" w:pos="4064" w:leader="none"/>
        </w:tabs>
        <w:spacing w:lineRule="auto" w:line="276" w:before="0" w:after="0"/>
        <w:jc w:val="center"/>
        <w:rPr>
          <w:rFonts w:cs="Times New Roman" w:ascii="Century Gothic" w:hAnsi="Century Gothic"/>
          <w:b/>
          <w:bCs/>
          <w:lang w:val="en-US"/>
        </w:rPr>
      </w:pPr>
      <w:r>
        <w:rPr>
          <w:rFonts w:cs="Times New Roman" w:ascii="Century Gothic" w:hAnsi="Century Gothic"/>
          <w:b/>
          <w:bCs/>
          <w:lang w:val="en-US"/>
        </w:rPr>
      </w:r>
    </w:p>
    <w:p>
      <w:pPr>
        <w:pStyle w:val="ListParagraph"/>
        <w:numPr>
          <w:ilvl w:val="0"/>
          <w:numId w:val="7"/>
        </w:numPr>
        <w:spacing w:lineRule="auto" w:line="276" w:before="0" w:after="0"/>
        <w:contextualSpacing/>
        <w:jc w:val="both"/>
        <w:rPr>
          <w:rFonts w:cs="Times New Roman" w:ascii="Century Gothic" w:hAnsi="Century Gothic"/>
          <w:color w:val="000000"/>
        </w:rPr>
      </w:pPr>
      <w:r>
        <w:rPr>
          <w:rFonts w:cs="Times New Roman" w:ascii="Century Gothic" w:hAnsi="Century Gothic"/>
        </w:rPr>
        <w:t xml:space="preserve">Per l’attuazione del presente Accordo, </w:t>
      </w:r>
      <w:r>
        <w:rPr>
          <w:rFonts w:cs="Times New Roman" w:ascii="Century Gothic" w:hAnsi="Century Gothic"/>
          <w:color w:val="000000"/>
        </w:rPr>
        <w:t>Regione Lombardia sostiene i servizi di Polizia locale programmati dai Comuni capofila di Busto Arsizio, Gallarate e Varese, il cui progetto di massima viene predisposto e presentato coinvolgendo i Comuni della provincia aderenti e che fanno riferimento a ciascun capofila.</w:t>
      </w:r>
    </w:p>
    <w:p>
      <w:pPr>
        <w:pStyle w:val="ListParagraph"/>
        <w:numPr>
          <w:ilvl w:val="0"/>
          <w:numId w:val="7"/>
        </w:numPr>
        <w:spacing w:lineRule="auto" w:line="276" w:before="0" w:after="0"/>
        <w:contextualSpacing/>
        <w:jc w:val="both"/>
        <w:rPr>
          <w:rFonts w:cs="Times New Roman" w:ascii="Century Gothic" w:hAnsi="Century Gothic"/>
          <w:color w:val="000000"/>
        </w:rPr>
      </w:pPr>
      <w:r>
        <w:rPr>
          <w:rFonts w:cs="Times New Roman" w:ascii="Century Gothic" w:hAnsi="Century Gothic"/>
          <w:color w:val="000000"/>
        </w:rPr>
        <w:t>I Comuni capofila di Varese, Busto Arsizio e Gallarate s</w:t>
      </w:r>
      <w:r>
        <w:rPr>
          <w:rFonts w:cs="Times New Roman" w:ascii="Century Gothic" w:hAnsi="Century Gothic"/>
        </w:rPr>
        <w:t xml:space="preserve">ono  referenti nei confronti della Regione, ai fini amministrativi. Per il pattugliamento in straordinario delle stazioni e delle aree limitrofe da parte delle Polizie locali, oggetto di tali servizi, Regione Lombardia prevede risorse finanziarie pari all’importo complessivo di </w:t>
      </w:r>
      <w:r>
        <w:rPr>
          <w:rFonts w:cs="Times New Roman" w:ascii="Century Gothic" w:hAnsi="Century Gothic"/>
          <w:b/>
        </w:rPr>
        <w:t xml:space="preserve">€              </w:t>
      </w:r>
      <w:r>
        <w:rPr>
          <w:rFonts w:cs="Times New Roman" w:ascii="Century Gothic" w:hAnsi="Century Gothic"/>
        </w:rPr>
        <w:t xml:space="preserve"> nell’annualità </w:t>
      </w:r>
      <w:r>
        <w:rPr>
          <w:rFonts w:cs="Times New Roman" w:ascii="Century Gothic" w:hAnsi="Century Gothic"/>
          <w:b/>
        </w:rPr>
        <w:t>2022</w:t>
      </w:r>
      <w:r>
        <w:rPr>
          <w:rFonts w:cs="Times New Roman" w:ascii="Century Gothic" w:hAnsi="Century Gothic"/>
        </w:rPr>
        <w:t xml:space="preserve">. </w:t>
      </w:r>
      <w:r>
        <w:rPr>
          <w:rFonts w:cs="Times New Roman" w:ascii="Century Gothic" w:hAnsi="Century Gothic"/>
          <w:color w:val="000000"/>
        </w:rPr>
        <w:t>Tale somma viene ripartita ai capofila in base ai rispettivi progetti di massima dei servizi presentati successivamente alla sottoscrizione del presente atto.</w:t>
      </w:r>
    </w:p>
    <w:p>
      <w:pPr>
        <w:pStyle w:val="ListParagraph"/>
        <w:numPr>
          <w:ilvl w:val="0"/>
          <w:numId w:val="7"/>
        </w:numPr>
        <w:spacing w:lineRule="auto" w:line="276" w:before="0" w:after="0"/>
        <w:contextualSpacing/>
        <w:jc w:val="both"/>
        <w:rPr>
          <w:rFonts w:cs="Times New Roman" w:ascii="Century Gothic" w:hAnsi="Century Gothic"/>
        </w:rPr>
      </w:pPr>
      <w:r>
        <w:rPr>
          <w:rFonts w:cs="Times New Roman" w:ascii="Century Gothic" w:hAnsi="Century Gothic"/>
        </w:rPr>
        <w:t xml:space="preserve">Regione Lombardia </w:t>
      </w:r>
      <w:r>
        <w:rPr>
          <w:rFonts w:cs="Times New Roman" w:ascii="Century Gothic" w:hAnsi="Century Gothic"/>
          <w:color w:val="000000"/>
        </w:rPr>
        <w:t>rimborserà, attraverso i tre capofila,</w:t>
      </w:r>
      <w:r>
        <w:rPr>
          <w:rFonts w:cs="Times New Roman" w:ascii="Century Gothic" w:hAnsi="Century Gothic"/>
          <w:color w:val="FF0000"/>
        </w:rPr>
        <w:t xml:space="preserve"> </w:t>
      </w:r>
      <w:bookmarkStart w:id="12" w:name="_Hlk83040766"/>
      <w:bookmarkEnd w:id="12"/>
      <w:r>
        <w:rPr>
          <w:rFonts w:cs="Times New Roman" w:ascii="Century Gothic" w:hAnsi="Century Gothic"/>
        </w:rPr>
        <w:t xml:space="preserve">gli emolumenti a titolo di straordinario rendicontati a Regione Lombardia di seguito alla presentazione di una relazione amministrativo-contabile di cui al successivo articolo 8 (Rendicontazione) e fino al raggiungimento dell’importo stanziato.   </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 xml:space="preserve">ART. 8 </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RENDICONTAZIONE</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r>
    </w:p>
    <w:p>
      <w:pPr>
        <w:pStyle w:val="ListParagraph"/>
        <w:numPr>
          <w:ilvl w:val="0"/>
          <w:numId w:val="8"/>
        </w:numPr>
        <w:spacing w:lineRule="auto" w:line="276" w:before="0" w:after="0"/>
        <w:contextualSpacing/>
        <w:jc w:val="both"/>
        <w:rPr>
          <w:rFonts w:cs="Times New Roman" w:ascii="Century Gothic" w:hAnsi="Century Gothic"/>
        </w:rPr>
      </w:pPr>
      <w:r>
        <w:rPr>
          <w:rFonts w:cs="Times New Roman" w:ascii="Century Gothic" w:hAnsi="Century Gothic"/>
        </w:rPr>
        <w:t xml:space="preserve">I Comuni capofila, in merito alle attività svolte dalle Polizie Locali, invieranno a Regione Lombardia, entro il 15 </w:t>
      </w:r>
      <w:r>
        <w:rPr>
          <w:rFonts w:cs="Times New Roman" w:ascii="Century Gothic" w:hAnsi="Century Gothic"/>
          <w:b/>
        </w:rPr>
        <w:t>dicembre</w:t>
      </w:r>
      <w:r>
        <w:rPr>
          <w:rFonts w:cs="Times New Roman" w:ascii="Century Gothic" w:hAnsi="Century Gothic"/>
        </w:rPr>
        <w:t xml:space="preserve"> 2022, una relazione sui servizi svolti. La relazione, altresì, sarà comprensiva delle somme spese per il solo impiego di personale in straordinario di cui si richiede rimborso. Le somme richieste a titolo di rimborso saranno liquidate da Regione Lombardia fino all’importo complessivo </w:t>
      </w:r>
      <w:r>
        <w:rPr>
          <w:rFonts w:cs="Times New Roman" w:ascii="Century Gothic" w:hAnsi="Century Gothic"/>
          <w:color w:val="000000"/>
        </w:rPr>
        <w:t>di 30.000 euro.</w:t>
      </w:r>
      <w:r>
        <w:rPr>
          <w:rFonts w:cs="Times New Roman" w:ascii="Century Gothic" w:hAnsi="Century Gothic"/>
        </w:rPr>
        <w:t xml:space="preserve"> La rendicontazione dovrà essere effettuata mediante la produzione di una relazione amministrativo-contabile contenente la descrizione delle modalità di realizzazione del servizio e dei risultati conseguiti, nonché la documentazione relativa ai tempi e al personale impiegato. </w:t>
      </w:r>
    </w:p>
    <w:p>
      <w:pPr>
        <w:pStyle w:val="ListParagraph"/>
        <w:spacing w:lineRule="auto" w:line="276" w:before="0" w:after="0"/>
        <w:contextualSpacing/>
        <w:jc w:val="both"/>
        <w:rPr>
          <w:rFonts w:cs="Times New Roman" w:ascii="Century Gothic" w:hAnsi="Century Gothic"/>
        </w:rPr>
      </w:pPr>
      <w:r>
        <w:rPr>
          <w:rFonts w:cs="Times New Roman" w:ascii="Century Gothic" w:hAnsi="Century Gothic"/>
        </w:rPr>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 xml:space="preserve">ART. 9 </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 xml:space="preserve"> </w:t>
      </w:r>
      <w:r>
        <w:rPr>
          <w:rFonts w:cs="Times New Roman" w:ascii="Century Gothic" w:hAnsi="Century Gothic"/>
          <w:b/>
          <w:bCs/>
        </w:rPr>
        <w:t>DURATA E VALIDITÀ DELL’ACCORDO</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r>
    </w:p>
    <w:p>
      <w:pPr>
        <w:pStyle w:val="ListParagraph"/>
        <w:numPr>
          <w:ilvl w:val="0"/>
          <w:numId w:val="11"/>
        </w:numPr>
        <w:spacing w:lineRule="auto" w:line="276" w:before="0" w:after="0"/>
        <w:contextualSpacing/>
        <w:jc w:val="both"/>
        <w:rPr>
          <w:rFonts w:cs="Times New Roman" w:ascii="Century Gothic" w:hAnsi="Century Gothic"/>
          <w:b w:val="false"/>
          <w:bCs w:val="false"/>
          <w:color w:val="000000"/>
        </w:rPr>
      </w:pPr>
      <w:r>
        <w:rPr>
          <w:rFonts w:cs="Times New Roman" w:ascii="Century Gothic" w:hAnsi="Century Gothic"/>
        </w:rPr>
        <w:t>La validità del presente Accordo decorre dalla data della sua sottoscrizione e scade il 31 dicembre 202</w:t>
      </w:r>
      <w:r>
        <w:rPr>
          <w:rFonts w:cs="Times New Roman" w:ascii="Century Gothic" w:hAnsi="Century Gothic"/>
          <w:b w:val="false"/>
          <w:bCs w:val="false"/>
          <w:color w:val="000000"/>
        </w:rPr>
        <w:t>2.</w:t>
      </w:r>
    </w:p>
    <w:p>
      <w:pPr>
        <w:pStyle w:val="Normal"/>
        <w:spacing w:lineRule="auto" w:line="276" w:before="0" w:after="0"/>
        <w:jc w:val="center"/>
        <w:rPr>
          <w:rFonts w:cs="Times New Roman" w:ascii="Century Gothic" w:hAnsi="Century Gothic"/>
        </w:rPr>
      </w:pPr>
      <w:r>
        <w:rPr>
          <w:rFonts w:cs="Times New Roman" w:ascii="Century Gothic" w:hAnsi="Century Gothic"/>
        </w:rPr>
      </w:r>
    </w:p>
    <w:p>
      <w:pPr>
        <w:pStyle w:val="Normal"/>
        <w:spacing w:lineRule="auto" w:line="276" w:before="0" w:after="0"/>
        <w:jc w:val="center"/>
        <w:rPr>
          <w:rFonts w:cs="Times New Roman" w:ascii="Century Gothic" w:hAnsi="Century Gothic"/>
          <w:b/>
        </w:rPr>
      </w:pPr>
      <w:r>
        <w:rPr>
          <w:rFonts w:cs="Times New Roman" w:ascii="Century Gothic" w:hAnsi="Century Gothic"/>
          <w:b/>
        </w:rPr>
        <w:t xml:space="preserve">ART. 10 </w:t>
      </w:r>
    </w:p>
    <w:p>
      <w:pPr>
        <w:pStyle w:val="Normal"/>
        <w:spacing w:lineRule="auto" w:line="276" w:before="0" w:after="0"/>
        <w:jc w:val="center"/>
        <w:rPr>
          <w:rFonts w:cs="Times New Roman" w:ascii="Century Gothic" w:hAnsi="Century Gothic"/>
          <w:b/>
        </w:rPr>
      </w:pPr>
      <w:r>
        <w:rPr>
          <w:rFonts w:cs="Times New Roman" w:ascii="Century Gothic" w:hAnsi="Century Gothic"/>
          <w:b/>
        </w:rPr>
        <w:t>TRATTAMENTO DEI DATI PERSONALI</w:t>
      </w:r>
    </w:p>
    <w:p>
      <w:pPr>
        <w:pStyle w:val="Normal"/>
        <w:spacing w:lineRule="auto" w:line="276" w:before="0" w:after="0"/>
        <w:jc w:val="center"/>
        <w:rPr>
          <w:rFonts w:cs="Times New Roman" w:ascii="Century Gothic" w:hAnsi="Century Gothic"/>
          <w:b/>
        </w:rPr>
      </w:pPr>
      <w:r>
        <w:rPr>
          <w:rFonts w:cs="Times New Roman" w:ascii="Century Gothic" w:hAnsi="Century Gothic"/>
          <w:b/>
        </w:rPr>
      </w:r>
    </w:p>
    <w:p>
      <w:pPr>
        <w:pStyle w:val="ListParagraph"/>
        <w:numPr>
          <w:ilvl w:val="0"/>
          <w:numId w:val="10"/>
        </w:numPr>
        <w:spacing w:lineRule="auto" w:line="276" w:before="0" w:after="0"/>
        <w:contextualSpacing/>
        <w:jc w:val="both"/>
        <w:rPr>
          <w:rFonts w:cs="Times New Roman" w:ascii="Century Gothic" w:hAnsi="Century Gothic"/>
        </w:rPr>
      </w:pPr>
      <w:r>
        <w:rPr>
          <w:rFonts w:cs="Times New Roman" w:ascii="Century Gothic" w:hAnsi="Century Gothic"/>
        </w:rPr>
        <w:t>Le parti dichiarano reciprocamente di essere informate e di acconsentire che i dati personali forniti o raccolti in conseguenza della stipula del presente Accordo verranno trattati esclusivamente per le finalità ivi indicate ed in conformità a quanto previsto dalla vigente normativa in materia di protezione dei dati personali.</w:t>
      </w:r>
    </w:p>
    <w:p>
      <w:pPr>
        <w:pStyle w:val="Normal"/>
        <w:tabs>
          <w:tab w:val="left" w:pos="4064" w:leader="none"/>
        </w:tabs>
        <w:spacing w:lineRule="auto" w:line="276" w:before="0" w:after="0"/>
        <w:jc w:val="center"/>
        <w:rPr>
          <w:rFonts w:cs="Times New Roman" w:ascii="Century Gothic" w:hAnsi="Century Gothic"/>
          <w:bCs/>
        </w:rPr>
      </w:pPr>
      <w:r>
        <w:rPr>
          <w:rFonts w:cs="Times New Roman" w:ascii="Century Gothic" w:hAnsi="Century Gothic"/>
          <w:bCs/>
        </w:rPr>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 xml:space="preserve">ART. 11 </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t>DISPOSIZIONI FINALI</w:t>
      </w:r>
    </w:p>
    <w:p>
      <w:pPr>
        <w:pStyle w:val="Normal"/>
        <w:tabs>
          <w:tab w:val="left" w:pos="4064" w:leader="none"/>
        </w:tabs>
        <w:spacing w:lineRule="auto" w:line="276" w:before="0" w:after="0"/>
        <w:jc w:val="center"/>
        <w:rPr>
          <w:rFonts w:cs="Times New Roman" w:ascii="Century Gothic" w:hAnsi="Century Gothic"/>
          <w:b/>
          <w:bCs/>
        </w:rPr>
      </w:pPr>
      <w:r>
        <w:rPr>
          <w:rFonts w:cs="Times New Roman" w:ascii="Century Gothic" w:hAnsi="Century Gothic"/>
          <w:b/>
          <w:bCs/>
        </w:rPr>
      </w:r>
    </w:p>
    <w:p>
      <w:pPr>
        <w:pStyle w:val="ListParagraph"/>
        <w:numPr>
          <w:ilvl w:val="0"/>
          <w:numId w:val="9"/>
        </w:numPr>
        <w:tabs>
          <w:tab w:val="left" w:pos="4064" w:leader="none"/>
          <w:tab w:val="left" w:pos="5529" w:leader="none"/>
          <w:tab w:val="left" w:pos="9072" w:leader="none"/>
          <w:tab w:val="left" w:pos="9214" w:leader="none"/>
        </w:tabs>
        <w:spacing w:lineRule="auto" w:line="276" w:before="0" w:after="0"/>
        <w:contextualSpacing/>
        <w:jc w:val="both"/>
        <w:rPr>
          <w:rFonts w:cs="Times New Roman" w:ascii="Century Gothic" w:hAnsi="Century Gothic"/>
        </w:rPr>
      </w:pPr>
      <w:r>
        <w:rPr>
          <w:rFonts w:cs="Times New Roman" w:ascii="Century Gothic" w:hAnsi="Century Gothic"/>
        </w:rPr>
        <w:t>Del presente Accordo è data notizia al Prefetto del capoluogo di Regione, in attuazione di quanto previsto dall’Accordo per la promozione della sicurezza integrata di cui al Preambolo, alla Questura, al Comando Provinciale dell’Arma dei Carabinieri e della Guardia di Finanza di Varese , nonché al Compartimento della Polizia Ferroviaria di Milano.</w:t>
      </w:r>
    </w:p>
    <w:p>
      <w:pPr>
        <w:pStyle w:val="Normal"/>
        <w:tabs>
          <w:tab w:val="left" w:pos="4064" w:leader="none"/>
        </w:tabs>
        <w:spacing w:lineRule="auto" w:line="276" w:before="0" w:after="0"/>
        <w:jc w:val="both"/>
        <w:rPr>
          <w:rFonts w:cs="Times New Roman" w:ascii="Century Gothic" w:hAnsi="Century Gothic"/>
        </w:rPr>
      </w:pPr>
      <w:r>
        <w:rPr>
          <w:rFonts w:cs="Times New Roman" w:ascii="Century Gothic" w:hAnsi="Century Gothic"/>
        </w:rPr>
      </w:r>
    </w:p>
    <w:p>
      <w:pPr>
        <w:pStyle w:val="Normal"/>
        <w:overflowPunct w:val="true"/>
        <w:spacing w:lineRule="auto" w:line="276" w:before="0" w:after="0"/>
        <w:ind w:left="0" w:right="578" w:hanging="0"/>
        <w:jc w:val="both"/>
        <w:textAlignment w:val="baseline"/>
        <w:rPr>
          <w:rFonts w:cs="Times New Roman" w:ascii="Century Gothic" w:hAnsi="Century Gothic"/>
          <w:b/>
          <w:bCs/>
          <w:spacing w:val="3"/>
        </w:rPr>
      </w:pPr>
      <w:r>
        <w:rPr>
          <w:rFonts w:cs="Times New Roman" w:ascii="Century Gothic" w:hAnsi="Century Gothic"/>
          <w:b/>
          <w:bCs/>
          <w:spacing w:val="3"/>
        </w:rPr>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t>Prefettura - UTG di Varese</w:t>
      </w:r>
    </w:p>
    <w:p>
      <w:pPr>
        <w:pStyle w:val="Normal"/>
        <w:overflowPunct w:val="true"/>
        <w:spacing w:lineRule="auto" w:line="276" w:before="0" w:after="0"/>
        <w:ind w:left="0" w:right="578" w:hanging="0"/>
        <w:jc w:val="both"/>
        <w:textAlignment w:val="baseline"/>
        <w:rPr>
          <w:rFonts w:cs="Times New Roman" w:ascii="Century Gothic" w:hAnsi="Century Gothic"/>
          <w:bCs/>
          <w:i/>
          <w:spacing w:val="3"/>
        </w:rPr>
      </w:pPr>
      <w:r>
        <w:rPr>
          <w:rFonts w:cs="Times New Roman" w:ascii="Century Gothic" w:hAnsi="Century Gothic"/>
          <w:bCs/>
          <w:i/>
          <w:spacing w:val="3"/>
        </w:rPr>
        <w:t>Il Prefetto Salvatore Pasquariello</w:t>
        <w:tab/>
        <w:tab/>
        <w:tab/>
        <w:t xml:space="preserve"> _____</w:t>
        <w:tab/>
        <w:t>_______________________</w:t>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Cs/>
          <w:spacing w:val="3"/>
        </w:rPr>
        <w:t xml:space="preserve"> </w:t>
      </w:r>
      <w:r>
        <w:rPr>
          <w:rFonts w:cs="Times New Roman" w:ascii="Century Gothic" w:hAnsi="Century Gothic"/>
          <w:b/>
          <w:bCs/>
          <w:i/>
          <w:spacing w:val="3"/>
        </w:rPr>
        <w:t xml:space="preserve">   </w:t>
      </w:r>
      <w:r>
        <w:rPr>
          <w:rFonts w:cs="Times New Roman" w:ascii="Century Gothic" w:hAnsi="Century Gothic"/>
          <w:b/>
          <w:bCs/>
          <w:i/>
          <w:spacing w:val="3"/>
        </w:rPr>
        <w:tab/>
        <w:tab/>
        <w:t xml:space="preserve">              </w:t>
        <w:tab/>
        <w:tab/>
        <w:tab/>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t>Regione Lombardia</w:t>
      </w:r>
    </w:p>
    <w:p>
      <w:pPr>
        <w:pStyle w:val="Normal"/>
        <w:overflowPunct w:val="true"/>
        <w:spacing w:lineRule="auto" w:line="276" w:before="0" w:after="0"/>
        <w:ind w:left="0" w:right="578" w:hanging="0"/>
        <w:jc w:val="both"/>
        <w:textAlignment w:val="baseline"/>
        <w:rPr>
          <w:rFonts w:cs="Times New Roman" w:ascii="Century Gothic" w:hAnsi="Century Gothic"/>
          <w:bCs/>
          <w:i/>
          <w:spacing w:val="3"/>
        </w:rPr>
      </w:pPr>
      <w:r>
        <w:rPr>
          <w:rFonts w:cs="Times New Roman" w:ascii="Century Gothic" w:hAnsi="Century Gothic"/>
          <w:bCs/>
          <w:i/>
          <w:spacing w:val="3"/>
        </w:rPr>
        <w:t>Riccardo De Corato o</w:t>
      </w:r>
    </w:p>
    <w:p>
      <w:pPr>
        <w:pStyle w:val="Normal"/>
        <w:overflowPunct w:val="true"/>
        <w:spacing w:lineRule="auto" w:line="276" w:before="0" w:after="0"/>
        <w:ind w:left="0" w:right="578" w:hanging="0"/>
        <w:jc w:val="both"/>
        <w:textAlignment w:val="baseline"/>
        <w:rPr>
          <w:rFonts w:cs="Times New Roman" w:ascii="Century Gothic" w:hAnsi="Century Gothic"/>
          <w:bCs/>
          <w:i/>
          <w:spacing w:val="3"/>
        </w:rPr>
      </w:pPr>
      <w:r>
        <w:rPr>
          <w:rFonts w:cs="Times New Roman" w:ascii="Century Gothic" w:hAnsi="Century Gothic"/>
          <w:bCs/>
          <w:i/>
          <w:spacing w:val="3"/>
        </w:rPr>
        <w:t>Fabrizio Cristalli</w:t>
        <w:tab/>
        <w:tab/>
        <w:tab/>
        <w:tab/>
        <w:tab/>
        <w:t xml:space="preserve"> _____________________________</w:t>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tab/>
        <w:tab/>
        <w:tab/>
        <w:tab/>
        <w:tab/>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t>Trenord S.r.l.</w:t>
      </w:r>
    </w:p>
    <w:p>
      <w:pPr>
        <w:pStyle w:val="Normal"/>
        <w:overflowPunct w:val="true"/>
        <w:spacing w:lineRule="auto" w:line="276" w:before="0" w:after="0"/>
        <w:ind w:left="0" w:right="578" w:hanging="0"/>
        <w:jc w:val="both"/>
        <w:textAlignment w:val="baseline"/>
        <w:rPr>
          <w:rFonts w:cs="Times New Roman" w:ascii="Century Gothic" w:hAnsi="Century Gothic"/>
          <w:bCs/>
          <w:i/>
          <w:spacing w:val="3"/>
        </w:rPr>
      </w:pPr>
      <w:r>
        <w:rPr>
          <w:rFonts w:cs="Times New Roman" w:ascii="Century Gothic" w:hAnsi="Century Gothic"/>
          <w:bCs/>
          <w:i/>
          <w:spacing w:val="3"/>
        </w:rPr>
        <w:t xml:space="preserve">Fabrizio Di Staso </w:t>
        <w:tab/>
        <w:tab/>
        <w:tab/>
        <w:tab/>
        <w:tab/>
        <w:t>_____________________________</w:t>
        <w:tab/>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t xml:space="preserve">Rete Ferroviaria Italiana </w:t>
        <w:tab/>
        <w:tab/>
        <w:tab/>
        <w:tab/>
      </w:r>
      <w:r>
        <w:rPr>
          <w:rFonts w:cs="Times New Roman" w:ascii="Century Gothic" w:hAnsi="Century Gothic"/>
          <w:bCs/>
          <w:i/>
          <w:spacing w:val="3"/>
        </w:rPr>
        <w:t>_____________________________</w:t>
        <w:tab/>
      </w:r>
      <w:r>
        <w:rPr>
          <w:rFonts w:cs="Times New Roman" w:ascii="Century Gothic" w:hAnsi="Century Gothic"/>
          <w:b/>
          <w:bCs/>
          <w:i/>
          <w:spacing w:val="3"/>
        </w:rPr>
        <w:tab/>
      </w:r>
    </w:p>
    <w:p>
      <w:pPr>
        <w:pStyle w:val="Normal"/>
        <w:overflowPunct w:val="true"/>
        <w:spacing w:lineRule="auto" w:line="276" w:before="0" w:after="0"/>
        <w:ind w:left="0" w:right="578" w:hanging="0"/>
        <w:jc w:val="both"/>
        <w:textAlignment w:val="baseline"/>
        <w:rPr>
          <w:rFonts w:cs="Times New Roman" w:ascii="Century Gothic" w:hAnsi="Century Gothic"/>
          <w:bCs/>
          <w:i/>
          <w:spacing w:val="3"/>
        </w:rPr>
      </w:pPr>
      <w:r>
        <w:rPr>
          <w:rFonts w:cs="Times New Roman" w:ascii="Century Gothic" w:hAnsi="Century Gothic"/>
          <w:b/>
          <w:bCs/>
          <w:i/>
          <w:spacing w:val="3"/>
        </w:rPr>
        <w:t xml:space="preserve">Ferrovie Nord S.P.A. </w:t>
        <w:tab/>
        <w:tab/>
        <w:tab/>
        <w:tab/>
        <w:t xml:space="preserve"> </w:t>
      </w:r>
      <w:r>
        <w:rPr>
          <w:rFonts w:cs="Times New Roman" w:ascii="Century Gothic" w:hAnsi="Century Gothic"/>
          <w:bCs/>
          <w:i/>
          <w:spacing w:val="3"/>
        </w:rPr>
        <w:t>_____________________________</w:t>
      </w:r>
    </w:p>
    <w:p>
      <w:pPr>
        <w:pStyle w:val="Normal"/>
        <w:overflowPunct w:val="true"/>
        <w:spacing w:lineRule="auto" w:line="276" w:before="0" w:after="0"/>
        <w:ind w:left="0" w:right="578" w:hanging="0"/>
        <w:jc w:val="both"/>
        <w:textAlignment w:val="baseline"/>
        <w:rPr>
          <w:rFonts w:cs="Times New Roman" w:ascii="Century Gothic" w:hAnsi="Century Gothic"/>
          <w:bCs/>
          <w:i/>
          <w:spacing w:val="3"/>
        </w:rPr>
      </w:pPr>
      <w:r>
        <w:rPr>
          <w:rFonts w:cs="Times New Roman" w:ascii="Century Gothic" w:hAnsi="Century Gothic"/>
          <w:bCs/>
          <w:i/>
          <w:spacing w:val="3"/>
        </w:rPr>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t>Agenzia per il TRASPORTO PUBBLICO LOCALE</w:t>
      </w:r>
    </w:p>
    <w:p>
      <w:pPr>
        <w:pStyle w:val="Normal"/>
        <w:overflowPunct w:val="true"/>
        <w:spacing w:lineRule="auto" w:line="276" w:before="0" w:after="0"/>
        <w:ind w:left="0" w:right="578" w:hanging="0"/>
        <w:jc w:val="both"/>
        <w:textAlignment w:val="baseline"/>
        <w:rPr>
          <w:rFonts w:cs="Times New Roman" w:ascii="Century Gothic" w:hAnsi="Century Gothic"/>
          <w:bCs/>
          <w:i/>
          <w:spacing w:val="3"/>
        </w:rPr>
      </w:pPr>
      <w:r>
        <w:rPr>
          <w:rFonts w:cs="Times New Roman" w:ascii="Century Gothic" w:hAnsi="Century Gothic"/>
          <w:b/>
          <w:bCs/>
          <w:i/>
          <w:spacing w:val="3"/>
        </w:rPr>
        <w:t>DEL BACINO DI COMO LEFFO VARESE</w:t>
      </w:r>
      <w:r>
        <w:rPr>
          <w:rFonts w:cs="Times New Roman" w:ascii="Century Gothic" w:hAnsi="Century Gothic"/>
          <w:bCs/>
          <w:i/>
          <w:spacing w:val="3"/>
        </w:rPr>
        <w:t xml:space="preserve"> </w:t>
        <w:tab/>
        <w:t>_____________________________</w:t>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t>Comune di Varese</w:t>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Cs/>
          <w:i/>
          <w:spacing w:val="3"/>
        </w:rPr>
        <w:t xml:space="preserve">Il Sindaco </w:t>
      </w:r>
      <w:r>
        <w:rPr>
          <w:rFonts w:cs="Times New Roman" w:ascii="Century Gothic" w:hAnsi="Century Gothic"/>
          <w:b/>
          <w:bCs/>
          <w:i/>
          <w:spacing w:val="3"/>
        </w:rPr>
        <w:tab/>
        <w:tab/>
        <w:tab/>
        <w:tab/>
        <w:t xml:space="preserve">                       _____________________________</w:t>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t xml:space="preserve">Comune di Busto Arsizio </w:t>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Cs/>
          <w:i/>
          <w:spacing w:val="3"/>
        </w:rPr>
        <w:t xml:space="preserve">Il Sindaco </w:t>
        <w:tab/>
        <w:tab/>
        <w:tab/>
        <w:tab/>
        <w:tab/>
        <w:tab/>
        <w:t>_____________________________</w:t>
        <w:tab/>
        <w:tab/>
        <w:tab/>
        <w:tab/>
        <w:tab/>
        <w:tab/>
        <w:tab/>
      </w:r>
      <w:r>
        <w:rPr>
          <w:rFonts w:cs="Times New Roman" w:ascii="Century Gothic" w:hAnsi="Century Gothic"/>
          <w:b/>
          <w:bCs/>
          <w:i/>
          <w:spacing w:val="3"/>
        </w:rPr>
        <w:tab/>
        <w:tab/>
        <w:tab/>
        <w:tab/>
        <w:tab/>
        <w:tab/>
      </w:r>
    </w:p>
    <w:p>
      <w:pPr>
        <w:pStyle w:val="Normal"/>
        <w:overflowPunct w:val="true"/>
        <w:spacing w:lineRule="auto" w:line="276" w:before="0" w:after="0"/>
        <w:ind w:left="0" w:right="578" w:hanging="0"/>
        <w:jc w:val="both"/>
        <w:textAlignment w:val="baseline"/>
        <w:rPr>
          <w:rFonts w:cs="Times New Roman" w:ascii="Century Gothic" w:hAnsi="Century Gothic"/>
          <w:b/>
          <w:bCs/>
          <w:i/>
          <w:spacing w:val="3"/>
        </w:rPr>
      </w:pPr>
      <w:r>
        <w:rPr>
          <w:rFonts w:cs="Times New Roman" w:ascii="Century Gothic" w:hAnsi="Century Gothic"/>
          <w:b/>
          <w:bCs/>
          <w:i/>
          <w:spacing w:val="3"/>
        </w:rPr>
        <w:t>Comune di Gallarate</w:t>
      </w:r>
    </w:p>
    <w:p>
      <w:pPr>
        <w:pStyle w:val="Normal"/>
        <w:overflowPunct w:val="true"/>
        <w:spacing w:lineRule="auto" w:line="276" w:before="0" w:after="0"/>
        <w:ind w:left="0" w:right="578" w:hanging="0"/>
        <w:textAlignment w:val="baseline"/>
        <w:rPr>
          <w:rFonts w:cs="Times New Roman" w:ascii="Century Gothic" w:hAnsi="Century Gothic"/>
          <w:bCs/>
          <w:i/>
          <w:spacing w:val="3"/>
        </w:rPr>
      </w:pPr>
      <w:r>
        <w:rPr>
          <w:rFonts w:cs="Times New Roman" w:ascii="Century Gothic" w:hAnsi="Century Gothic"/>
          <w:bCs/>
          <w:i/>
          <w:spacing w:val="3"/>
        </w:rPr>
        <w:t xml:space="preserve">Il Sindaco </w:t>
        <w:tab/>
        <w:tab/>
        <w:tab/>
        <w:tab/>
        <w:tab/>
        <w:tab/>
        <w:t>_____________________________</w:t>
        <w:tab/>
      </w:r>
    </w:p>
    <w:p>
      <w:pPr>
        <w:pStyle w:val="Normal"/>
        <w:overflowPunct w:val="true"/>
        <w:spacing w:lineRule="auto" w:line="276" w:before="0" w:after="0"/>
        <w:ind w:left="0" w:right="578" w:hanging="0"/>
        <w:textAlignment w:val="baseline"/>
        <w:rPr>
          <w:rFonts w:cs="Times New Roman" w:ascii="Century Gothic" w:hAnsi="Century Gothic"/>
          <w:bCs/>
          <w:i/>
          <w:spacing w:val="3"/>
        </w:rPr>
      </w:pPr>
      <w:r>
        <w:rPr>
          <w:rFonts w:cs="Times New Roman" w:ascii="Century Gothic" w:hAnsi="Century Gothic"/>
          <w:bCs/>
          <w:i/>
          <w:spacing w:val="3"/>
        </w:rPr>
      </w:r>
    </w:p>
    <w:p>
      <w:pPr>
        <w:pStyle w:val="Normal"/>
        <w:overflowPunct w:val="true"/>
        <w:spacing w:lineRule="auto" w:line="276" w:before="0" w:after="0"/>
        <w:ind w:left="0" w:right="578" w:hanging="0"/>
        <w:textAlignment w:val="baseline"/>
        <w:rPr>
          <w:rFonts w:cs="Times New Roman" w:ascii="Century Gothic" w:hAnsi="Century Gothic"/>
          <w:bCs/>
          <w:i/>
          <w:spacing w:val="3"/>
        </w:rPr>
      </w:pPr>
      <w:r>
        <w:rPr>
          <w:rFonts w:cs="Times New Roman" w:ascii="Century Gothic" w:hAnsi="Century Gothic"/>
          <w:b/>
          <w:bCs/>
          <w:i/>
          <w:spacing w:val="3"/>
        </w:rPr>
        <w:t>Comune di…</w:t>
      </w:r>
      <w:r>
        <w:rPr>
          <w:rFonts w:cs="Times New Roman" w:ascii="Century Gothic" w:hAnsi="Century Gothic"/>
          <w:bCs/>
          <w:i/>
          <w:spacing w:val="3"/>
        </w:rPr>
        <w:tab/>
        <w:tab/>
        <w:tab/>
        <w:tab/>
        <w:tab/>
        <w:tab/>
      </w:r>
    </w:p>
    <w:sectPr>
      <w:headerReference w:type="default" r:id="rId2"/>
      <w:footerReference w:type="default" r:id="rId3"/>
      <w:type w:val="nextPage"/>
      <w:pgSz w:w="11906" w:h="16838"/>
      <w:pgMar w:left="1134" w:right="1133" w:header="708" w:top="851" w:footer="688" w:bottom="993"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Segoe UI">
    <w:charset w:val="00"/>
    <w:family w:val="roman"/>
    <w:pitch w:val="variable"/>
  </w:font>
  <w:font w:name="Century Gothic">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English157 BT">
    <w:charset w:val="00"/>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Pidipagina1"/>
      <w:jc w:val="center"/>
      <w:rPr/>
    </w:pPr>
    <w:r>
      <w:rPr/>
      <w:fldChar w:fldCharType="begin"/>
    </w:r>
    <w:r>
      <w:instrText> PAGE </w:instrText>
    </w:r>
    <w:r>
      <w:fldChar w:fldCharType="separate"/>
    </w:r>
    <w:r>
      <w:t>9</w:t>
    </w:r>
    <w:r>
      <w:fldChar w:fldCharType="end"/>
    </w:r>
  </w:p>
  <w:p>
    <w:pPr>
      <w:pStyle w:val="Pidipagina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Normal"/>
      <w:suppressAutoHyphens w:val="true"/>
      <w:spacing w:lineRule="auto" w:line="240" w:before="0" w:after="160"/>
      <w:ind w:left="2124" w:right="0" w:hanging="0"/>
      <w:textAlignment w:val="baseline"/>
      <w:rPr>
        <w:rFonts w:eastAsia="Times New Roman" w:cs="Times New Roman" w:ascii="English157 BT" w:hAnsi="English157 BT"/>
        <w:i/>
        <w:sz w:val="72"/>
        <w:szCs w:val="72"/>
        <w:lang w:eastAsia="it-IT"/>
      </w:rPr>
    </w:pPr>
    <w:r>
      <w:rPr>
        <w:rFonts w:eastAsia="Times New Roman" w:cs="Times New Roman" w:ascii="English157 BT" w:hAnsi="English157 BT"/>
        <w:i/>
        <w:sz w:val="72"/>
        <w:szCs w:val="72"/>
        <w:lang w:eastAsia="it-IT"/>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decimal"/>
      <w:lvlText w:val="%1."/>
      <w:lvlJc w:val="left"/>
      <w:pPr>
        <w:ind w:left="720" w:hanging="360"/>
      </w:pPr>
      <w:rPr>
        <w:i w:val="false"/>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decimal"/>
      <w:lvlText w:val="%1."/>
      <w:lvlJc w:val="left"/>
      <w:pPr>
        <w:ind w:left="720" w:hanging="360"/>
      </w:pPr>
      <w:rPr>
        <w:color w:val="00000A"/>
        <w:dstrike w:val="false"/>
        <w:strike w:val="false"/>
        <w:sz w:val="22"/>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Times New Roman" w:hAnsi="Times New Roman" w:cs="Times New Roman" w:hint="default"/>
        <w:b/>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lvl w:ilvl="0">
      <w:start w:val="1"/>
      <w:numFmt w:val="bullet"/>
      <w:lvlText w:val=""/>
      <w:lvlJc w:val="left"/>
      <w:pPr>
        <w:ind w:left="2922" w:hanging="360"/>
      </w:pPr>
      <w:rPr>
        <w:rFonts w:ascii="Symbol" w:hAnsi="Symbol" w:cs="Symbol" w:hint="default"/>
        <w:sz w:val="24"/>
      </w:rPr>
    </w:lvl>
    <w:lvl w:ilvl="1">
      <w:start w:val="1"/>
      <w:numFmt w:val="bullet"/>
      <w:lvlText w:val="o"/>
      <w:lvlJc w:val="left"/>
      <w:pPr>
        <w:ind w:left="3642" w:hanging="360"/>
      </w:pPr>
      <w:rPr>
        <w:rFonts w:ascii="Courier New" w:hAnsi="Courier New" w:cs="Courier New" w:hint="default"/>
      </w:rPr>
    </w:lvl>
    <w:lvl w:ilvl="2">
      <w:start w:val="1"/>
      <w:numFmt w:val="bullet"/>
      <w:lvlText w:val=""/>
      <w:lvlJc w:val="left"/>
      <w:pPr>
        <w:ind w:left="4362" w:hanging="360"/>
      </w:pPr>
      <w:rPr>
        <w:rFonts w:ascii="Wingdings" w:hAnsi="Wingdings" w:cs="Wingdings" w:hint="default"/>
      </w:rPr>
    </w:lvl>
    <w:lvl w:ilvl="3">
      <w:start w:val="1"/>
      <w:numFmt w:val="bullet"/>
      <w:lvlText w:val=""/>
      <w:lvlJc w:val="left"/>
      <w:pPr>
        <w:ind w:left="5082" w:hanging="360"/>
      </w:pPr>
      <w:rPr>
        <w:rFonts w:ascii="Symbol" w:hAnsi="Symbol" w:cs="Symbol" w:hint="default"/>
      </w:rPr>
    </w:lvl>
    <w:lvl w:ilvl="4">
      <w:start w:val="1"/>
      <w:numFmt w:val="bullet"/>
      <w:lvlText w:val="o"/>
      <w:lvlJc w:val="left"/>
      <w:pPr>
        <w:ind w:left="5802" w:hanging="360"/>
      </w:pPr>
      <w:rPr>
        <w:rFonts w:ascii="Courier New" w:hAnsi="Courier New" w:cs="Courier New" w:hint="default"/>
      </w:rPr>
    </w:lvl>
    <w:lvl w:ilvl="5">
      <w:start w:val="1"/>
      <w:numFmt w:val="bullet"/>
      <w:lvlText w:val=""/>
      <w:lvlJc w:val="left"/>
      <w:pPr>
        <w:ind w:left="6522" w:hanging="360"/>
      </w:pPr>
      <w:rPr>
        <w:rFonts w:ascii="Wingdings" w:hAnsi="Wingdings" w:cs="Wingdings" w:hint="default"/>
      </w:rPr>
    </w:lvl>
    <w:lvl w:ilvl="6">
      <w:start w:val="1"/>
      <w:numFmt w:val="bullet"/>
      <w:lvlText w:val=""/>
      <w:lvlJc w:val="left"/>
      <w:pPr>
        <w:ind w:left="7242" w:hanging="360"/>
      </w:pPr>
      <w:rPr>
        <w:rFonts w:ascii="Symbol" w:hAnsi="Symbol" w:cs="Symbol" w:hint="default"/>
      </w:rPr>
    </w:lvl>
    <w:lvl w:ilvl="7">
      <w:start w:val="1"/>
      <w:numFmt w:val="bullet"/>
      <w:lvlText w:val="o"/>
      <w:lvlJc w:val="left"/>
      <w:pPr>
        <w:ind w:left="7962" w:hanging="360"/>
      </w:pPr>
      <w:rPr>
        <w:rFonts w:ascii="Courier New" w:hAnsi="Courier New" w:cs="Courier New" w:hint="default"/>
      </w:rPr>
    </w:lvl>
    <w:lvl w:ilvl="8">
      <w:start w:val="1"/>
      <w:numFmt w:val="bullet"/>
      <w:lvlText w:val=""/>
      <w:lvlJc w:val="left"/>
      <w:pPr>
        <w:ind w:left="8682" w:hanging="360"/>
      </w:pPr>
      <w:rPr>
        <w:rFonts w:ascii="Wingdings" w:hAnsi="Wingdings" w:cs="Wingdings" w:hint="default"/>
      </w:rPr>
    </w:lvl>
  </w:abstractNum>
  <w:abstractNum w:abstractNumId="1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40"/>
  <w:defaultTabStop w:val="708"/>
</w:settings>
</file>

<file path=word/styles.xml><?xml version="1.0" encoding="utf-8"?>
<w:styles xmlns:w="http://schemas.openxmlformats.org/wordprocessingml/2006/main">
  <w:docDefaults>
    <w:rPrDefault>
      <w:rPr>
        <w:rFonts w:ascii="Calibri" w:hAnsi="Calibri" w:eastAsia="Calibri" w:cs=""/>
        <w:szCs w:val="22"/>
        <w:lang w:val="it-IT" w:eastAsia="en-US" w:bidi="ar-SA"/>
      </w:rPr>
    </w:rPrDefault>
    <w:pPrDefault>
      <w:pPr/>
    </w:pPrDefault>
  </w:docDefaults>
  <w:latentStyles w:count="376" w:defQFormat="0" w:defUnhideWhenUsed="0" w:defSemiHidden="0" w:defUIPriority="99" w:defLockedState="0">
    <w:lsdException w:qFormat="1" w:uiPriority="0" w:name="Normal"/>
    <w:lsdException w:qFormat="1" w:uiPriority="0" w:name="heading 1"/>
    <w:lsdException w:qFormat="1" w:unhideWhenUsed="1" w:semiHidden="1" w:uiPriority="0"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nhideWhenUsed="1" w:semiHidden="1" w:uiPriority="0"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uiPriority="0"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sdException w:unhideWhenUsed="1" w:semiHidden="1" w:name="Smart Link"/>
  </w:latentStyles>
  <w:style w:type="paragraph" w:styleId="Normal" w:default="1">
    <w:name w:val="Normal"/>
    <w:qFormat/>
    <w:rsid w:val="005a5dab"/>
    <w:pPr>
      <w:widowControl/>
      <w:suppressAutoHyphens w:val="true"/>
      <w:bidi w:val="0"/>
      <w:spacing w:lineRule="auto" w:line="259" w:before="0" w:after="160"/>
      <w:jc w:val="left"/>
    </w:pPr>
    <w:rPr>
      <w:rFonts w:ascii="Calibri" w:hAnsi="Calibri" w:eastAsia="Calibri" w:cs=""/>
      <w:color w:val="00000A"/>
      <w:sz w:val="22"/>
      <w:szCs w:val="22"/>
      <w:lang w:val="it-IT" w:eastAsia="en-US" w:bidi="ar-SA"/>
    </w:rPr>
  </w:style>
  <w:style w:type="character" w:styleId="DefaultParagraphFont" w:default="1">
    <w:name w:val="Default Paragraph Font"/>
    <w:uiPriority w:val="1"/>
    <w:qFormat/>
    <w:semiHidden/>
    <w:unhideWhenUsed/>
    <w:rPr/>
  </w:style>
  <w:style w:type="character" w:styleId="Titolo1Carattere" w:customStyle="1">
    <w:name w:val="Titolo 1 Carattere"/>
    <w:qFormat/>
    <w:link w:val="Titolo11"/>
    <w:rsid w:val="00106177"/>
    <w:basedOn w:val="DefaultParagraphFont"/>
    <w:rPr>
      <w:rFonts w:ascii="Arial" w:hAnsi="Arial" w:eastAsia="Times New Roman" w:cs="Arial"/>
      <w:sz w:val="24"/>
      <w:szCs w:val="24"/>
      <w:lang w:eastAsia="it-IT"/>
    </w:rPr>
  </w:style>
  <w:style w:type="character" w:styleId="Titolo2Carattere" w:customStyle="1">
    <w:name w:val="Titolo 2 Carattere"/>
    <w:qFormat/>
    <w:link w:val="Titolo21"/>
    <w:rsid w:val="00106177"/>
    <w:basedOn w:val="DefaultParagraphFont"/>
    <w:rPr>
      <w:rFonts w:ascii="Arial" w:hAnsi="Arial" w:eastAsia="Times New Roman" w:cs="Arial"/>
      <w:b/>
      <w:bCs/>
      <w:sz w:val="24"/>
      <w:lang w:eastAsia="it-IT"/>
    </w:rPr>
  </w:style>
  <w:style w:type="character" w:styleId="Corpodeltesto2Carattere" w:customStyle="1">
    <w:name w:val="Corpo del testo 2 Carattere"/>
    <w:qFormat/>
    <w:semiHidden/>
    <w:link w:val="Corpodeltesto2"/>
    <w:rsid w:val="00106177"/>
    <w:basedOn w:val="DefaultParagraphFont"/>
    <w:rPr>
      <w:rFonts w:ascii="Arial" w:hAnsi="Arial" w:eastAsia="Times New Roman" w:cs="Arial"/>
      <w:iCs/>
      <w:sz w:val="24"/>
      <w:szCs w:val="28"/>
      <w:lang w:eastAsia="it-IT"/>
    </w:rPr>
  </w:style>
  <w:style w:type="character" w:styleId="IntestazioneCarattere" w:customStyle="1">
    <w:name w:val="Intestazione Carattere"/>
    <w:uiPriority w:val="99"/>
    <w:qFormat/>
    <w:link w:val="Intestazione1"/>
    <w:rsid w:val="00106177"/>
    <w:basedOn w:val="DefaultParagraphFont"/>
    <w:rPr>
      <w:rFonts w:ascii="Times New Roman" w:hAnsi="Times New Roman" w:eastAsia="Times New Roman" w:cs="Times New Roman"/>
      <w:sz w:val="24"/>
      <w:szCs w:val="24"/>
      <w:lang w:eastAsia="it-IT"/>
    </w:rPr>
  </w:style>
  <w:style w:type="character" w:styleId="PidipaginaCarattere" w:customStyle="1">
    <w:name w:val="Piè di pagina Carattere"/>
    <w:uiPriority w:val="99"/>
    <w:qFormat/>
    <w:link w:val="Pidipagina1"/>
    <w:rsid w:val="00106177"/>
    <w:basedOn w:val="DefaultParagraphFont"/>
    <w:rPr>
      <w:rFonts w:ascii="Times New Roman" w:hAnsi="Times New Roman" w:eastAsia="Times New Roman" w:cs="Times New Roman"/>
      <w:sz w:val="24"/>
      <w:szCs w:val="24"/>
      <w:lang w:eastAsia="it-IT"/>
    </w:rPr>
  </w:style>
  <w:style w:type="character" w:styleId="Pagenumber">
    <w:name w:val="page number"/>
    <w:uiPriority w:val="99"/>
    <w:qFormat/>
    <w:unhideWhenUsed/>
    <w:rsid w:val="00106177"/>
    <w:basedOn w:val="DefaultParagraphFont"/>
    <w:rPr/>
  </w:style>
  <w:style w:type="character" w:styleId="TestofumettoCarattere" w:customStyle="1">
    <w:name w:val="Testo fumetto Carattere"/>
    <w:uiPriority w:val="99"/>
    <w:qFormat/>
    <w:semiHidden/>
    <w:link w:val="Testofumetto"/>
    <w:rsid w:val="00106177"/>
    <w:basedOn w:val="DefaultParagraphFont"/>
    <w:rPr>
      <w:rFonts w:ascii="Segoe UI" w:hAnsi="Segoe UI" w:eastAsia="Times New Roman" w:cs="Segoe UI"/>
      <w:sz w:val="18"/>
      <w:szCs w:val="18"/>
      <w:lang w:eastAsia="it-IT"/>
    </w:rPr>
  </w:style>
  <w:style w:type="character" w:styleId="CollegamentoInternet" w:customStyle="1">
    <w:name w:val="Collegamento Internet"/>
    <w:uiPriority w:val="99"/>
    <w:unhideWhenUsed/>
    <w:rsid w:val="00106177"/>
    <w:basedOn w:val="DefaultParagraphFont"/>
    <w:rPr>
      <w:color w:val="0563C1"/>
      <w:u w:val="single"/>
      <w:lang w:val="zxx" w:eastAsia="zxx" w:bidi="zxx"/>
    </w:rPr>
  </w:style>
  <w:style w:type="character" w:styleId="Menzionenonrisolta1" w:customStyle="1">
    <w:name w:val="Menzione non risolta1"/>
    <w:uiPriority w:val="99"/>
    <w:qFormat/>
    <w:semiHidden/>
    <w:unhideWhenUsed/>
    <w:rsid w:val="005d20c8"/>
    <w:basedOn w:val="DefaultParagraphFont"/>
    <w:rPr>
      <w:color w:val="605E5C"/>
      <w:shd w:fill="E1DFDD" w:val="clear"/>
    </w:rPr>
  </w:style>
  <w:style w:type="character" w:styleId="Acopre1" w:customStyle="1">
    <w:name w:val="acopre1"/>
    <w:qFormat/>
    <w:rsid w:val="00ae48b0"/>
    <w:basedOn w:val="DefaultParagraphFont"/>
    <w:rPr/>
  </w:style>
  <w:style w:type="character" w:styleId="Annotationreference">
    <w:name w:val="annotation reference"/>
    <w:uiPriority w:val="99"/>
    <w:qFormat/>
    <w:semiHidden/>
    <w:unhideWhenUsed/>
    <w:rsid w:val="00661710"/>
    <w:basedOn w:val="DefaultParagraphFont"/>
    <w:rPr>
      <w:sz w:val="16"/>
      <w:szCs w:val="16"/>
    </w:rPr>
  </w:style>
  <w:style w:type="character" w:styleId="TestocommentoCarattere" w:customStyle="1">
    <w:name w:val="Testo commento Carattere"/>
    <w:uiPriority w:val="99"/>
    <w:qFormat/>
    <w:semiHidden/>
    <w:link w:val="Testocommento"/>
    <w:rsid w:val="00661710"/>
    <w:basedOn w:val="DefaultParagraphFont"/>
    <w:rPr>
      <w:sz w:val="20"/>
      <w:szCs w:val="20"/>
    </w:rPr>
  </w:style>
  <w:style w:type="character" w:styleId="SoggettocommentoCarattere" w:customStyle="1">
    <w:name w:val="Soggetto commento Carattere"/>
    <w:uiPriority w:val="99"/>
    <w:qFormat/>
    <w:semiHidden/>
    <w:link w:val="Soggettocommento"/>
    <w:rsid w:val="00661710"/>
    <w:basedOn w:val="TestocommentoCarattere"/>
    <w:rPr>
      <w:b/>
      <w:bCs/>
      <w:sz w:val="20"/>
      <w:szCs w:val="20"/>
    </w:rPr>
  </w:style>
  <w:style w:type="character" w:styleId="ParagrafoelencoCarattere" w:customStyle="1">
    <w:name w:val="Paragrafo elenco Carattere"/>
    <w:uiPriority w:val="34"/>
    <w:qFormat/>
    <w:link w:val="Paragrafoelenco"/>
    <w:rsid w:val="00b57728"/>
    <w:basedOn w:val="DefaultParagraphFont"/>
    <w:rPr/>
  </w:style>
  <w:style w:type="character" w:styleId="ListLabel1" w:customStyle="1">
    <w:name w:val="ListLabel 1"/>
    <w:qFormat/>
    <w:rsid w:val="005a5dab"/>
    <w:rPr>
      <w:rFonts w:cs="Courier New"/>
    </w:rPr>
  </w:style>
  <w:style w:type="character" w:styleId="ListLabel2" w:customStyle="1">
    <w:name w:val="ListLabel 2"/>
    <w:qFormat/>
    <w:rsid w:val="005a5dab"/>
    <w:rPr>
      <w:rFonts w:cs="Courier New"/>
    </w:rPr>
  </w:style>
  <w:style w:type="character" w:styleId="ListLabel3" w:customStyle="1">
    <w:name w:val="ListLabel 3"/>
    <w:qFormat/>
    <w:rsid w:val="005a5dab"/>
    <w:rPr>
      <w:rFonts w:cs="Courier New"/>
    </w:rPr>
  </w:style>
  <w:style w:type="character" w:styleId="ListLabel4" w:customStyle="1">
    <w:name w:val="ListLabel 4"/>
    <w:qFormat/>
    <w:rsid w:val="005a5dab"/>
    <w:rPr>
      <w:rFonts w:cs="Courier New"/>
    </w:rPr>
  </w:style>
  <w:style w:type="character" w:styleId="ListLabel5" w:customStyle="1">
    <w:name w:val="ListLabel 5"/>
    <w:qFormat/>
    <w:rsid w:val="005a5dab"/>
    <w:rPr>
      <w:rFonts w:cs="Courier New"/>
    </w:rPr>
  </w:style>
  <w:style w:type="character" w:styleId="ListLabel6" w:customStyle="1">
    <w:name w:val="ListLabel 6"/>
    <w:qFormat/>
    <w:rsid w:val="005a5dab"/>
    <w:rPr>
      <w:rFonts w:cs="Courier New"/>
    </w:rPr>
  </w:style>
  <w:style w:type="character" w:styleId="ListLabel7" w:customStyle="1">
    <w:name w:val="ListLabel 7"/>
    <w:qFormat/>
    <w:rsid w:val="005a5dab"/>
    <w:rPr>
      <w:rFonts w:cs="Courier New"/>
    </w:rPr>
  </w:style>
  <w:style w:type="character" w:styleId="ListLabel8" w:customStyle="1">
    <w:name w:val="ListLabel 8"/>
    <w:qFormat/>
    <w:rsid w:val="005a5dab"/>
    <w:rPr>
      <w:rFonts w:cs="Courier New"/>
    </w:rPr>
  </w:style>
  <w:style w:type="character" w:styleId="ListLabel9" w:customStyle="1">
    <w:name w:val="ListLabel 9"/>
    <w:qFormat/>
    <w:rsid w:val="005a5dab"/>
    <w:rPr>
      <w:rFonts w:cs="Courier New"/>
    </w:rPr>
  </w:style>
  <w:style w:type="character" w:styleId="ListLabel10" w:customStyle="1">
    <w:name w:val="ListLabel 10"/>
    <w:qFormat/>
    <w:rsid w:val="005a5dab"/>
    <w:rPr>
      <w:rFonts w:ascii="Century Gothic" w:hAnsi="Century Gothic" w:eastAsia="Calibri" w:cs="Times New Roman"/>
      <w:b/>
    </w:rPr>
  </w:style>
  <w:style w:type="character" w:styleId="ListLabel11" w:customStyle="1">
    <w:name w:val="ListLabel 11"/>
    <w:qFormat/>
    <w:rsid w:val="005a5dab"/>
    <w:rPr>
      <w:rFonts w:cs="Courier New"/>
    </w:rPr>
  </w:style>
  <w:style w:type="character" w:styleId="ListLabel12" w:customStyle="1">
    <w:name w:val="ListLabel 12"/>
    <w:qFormat/>
    <w:rsid w:val="005a5dab"/>
    <w:rPr>
      <w:rFonts w:cs="Courier New"/>
    </w:rPr>
  </w:style>
  <w:style w:type="character" w:styleId="ListLabel13" w:customStyle="1">
    <w:name w:val="ListLabel 13"/>
    <w:qFormat/>
    <w:rsid w:val="005a5dab"/>
    <w:rPr>
      <w:rFonts w:cs="Courier New"/>
    </w:rPr>
  </w:style>
  <w:style w:type="character" w:styleId="ListLabel14" w:customStyle="1">
    <w:name w:val="ListLabel 14"/>
    <w:qFormat/>
    <w:rsid w:val="005a5dab"/>
    <w:rPr>
      <w:rFonts w:ascii="Century Gothic" w:hAnsi="Century Gothic"/>
      <w:b/>
      <w:i w:val="false"/>
    </w:rPr>
  </w:style>
  <w:style w:type="character" w:styleId="ListLabel15" w:customStyle="1">
    <w:name w:val="ListLabel 15"/>
    <w:qFormat/>
    <w:rsid w:val="005a5dab"/>
    <w:rPr>
      <w:rFonts w:ascii="Century Gothic" w:hAnsi="Century Gothic"/>
      <w:strike w:val="false"/>
      <w:dstrike w:val="false"/>
      <w:color w:val="00000A"/>
      <w:sz w:val="22"/>
    </w:rPr>
  </w:style>
  <w:style w:type="character" w:styleId="ListLabel16" w:customStyle="1">
    <w:name w:val="ListLabel 16"/>
    <w:qFormat/>
    <w:rsid w:val="005a5dab"/>
    <w:rPr>
      <w:rFonts w:ascii="Century Gothic" w:hAnsi="Century Gothic"/>
      <w:color w:val="000000"/>
    </w:rPr>
  </w:style>
  <w:style w:type="character" w:styleId="ListLabel17" w:customStyle="1">
    <w:name w:val="ListLabel 17"/>
    <w:qFormat/>
    <w:rsid w:val="005a5dab"/>
    <w:rPr>
      <w:color w:val="00000A"/>
    </w:rPr>
  </w:style>
  <w:style w:type="character" w:styleId="ListLabel18" w:customStyle="1">
    <w:name w:val="ListLabel 18"/>
    <w:qFormat/>
    <w:rsid w:val="005a5dab"/>
    <w:rPr>
      <w:rFonts w:ascii="Century Gothic" w:hAnsi="Century Gothic"/>
    </w:rPr>
  </w:style>
  <w:style w:type="character" w:styleId="ListLabel19" w:customStyle="1">
    <w:name w:val="ListLabel 19"/>
    <w:qFormat/>
    <w:rsid w:val="005a5dab"/>
    <w:rPr>
      <w:rFonts w:cs="Courier New"/>
    </w:rPr>
  </w:style>
  <w:style w:type="character" w:styleId="ListLabel20" w:customStyle="1">
    <w:name w:val="ListLabel 20"/>
    <w:qFormat/>
    <w:rsid w:val="005a5dab"/>
    <w:rPr>
      <w:rFonts w:ascii="Century Gothic" w:hAnsi="Century Gothic" w:eastAsia="Calibri" w:cs="Times New Roman"/>
      <w:b/>
    </w:rPr>
  </w:style>
  <w:style w:type="character" w:styleId="ListLabel21" w:customStyle="1">
    <w:name w:val="ListLabel 21"/>
    <w:qFormat/>
    <w:rsid w:val="005a5dab"/>
    <w:rPr>
      <w:rFonts w:cs="Courier New"/>
    </w:rPr>
  </w:style>
  <w:style w:type="character" w:styleId="ListLabel22" w:customStyle="1">
    <w:name w:val="ListLabel 22"/>
    <w:qFormat/>
    <w:rsid w:val="005a5dab"/>
    <w:rPr>
      <w:rFonts w:cs="Courier New"/>
    </w:rPr>
  </w:style>
  <w:style w:type="character" w:styleId="ListLabel23" w:customStyle="1">
    <w:name w:val="ListLabel 23"/>
    <w:qFormat/>
    <w:rsid w:val="005a5dab"/>
    <w:rPr>
      <w:rFonts w:cs="Courier New"/>
    </w:rPr>
  </w:style>
  <w:style w:type="character" w:styleId="ListLabel24" w:customStyle="1">
    <w:name w:val="ListLabel 24"/>
    <w:qFormat/>
    <w:rsid w:val="005a5dab"/>
    <w:rPr>
      <w:rFonts w:cs="Courier New"/>
    </w:rPr>
  </w:style>
  <w:style w:type="character" w:styleId="ListLabel25" w:customStyle="1">
    <w:name w:val="ListLabel 25"/>
    <w:qFormat/>
    <w:rsid w:val="005a5dab"/>
    <w:rPr>
      <w:rFonts w:cs="Courier New"/>
    </w:rPr>
  </w:style>
  <w:style w:type="character" w:styleId="ListLabel26" w:customStyle="1">
    <w:name w:val="ListLabel 26"/>
    <w:qFormat/>
    <w:rsid w:val="005a5dab"/>
    <w:rPr>
      <w:rFonts w:cs="Courier New"/>
    </w:rPr>
  </w:style>
  <w:style w:type="character" w:styleId="ListLabel27" w:customStyle="1">
    <w:name w:val="ListLabel 27"/>
    <w:qFormat/>
    <w:rsid w:val="005a5dab"/>
    <w:rPr>
      <w:rFonts w:cs="Courier New"/>
    </w:rPr>
  </w:style>
  <w:style w:type="character" w:styleId="ListLabel28" w:customStyle="1">
    <w:name w:val="ListLabel 28"/>
    <w:qFormat/>
    <w:rsid w:val="005a5dab"/>
    <w:rPr>
      <w:rFonts w:cs="Courier New"/>
    </w:rPr>
  </w:style>
  <w:style w:type="character" w:styleId="ListLabel29" w:customStyle="1">
    <w:name w:val="ListLabel 29"/>
    <w:qFormat/>
    <w:rsid w:val="005a5dab"/>
    <w:rPr>
      <w:rFonts w:cs="Courier New"/>
    </w:rPr>
  </w:style>
  <w:style w:type="character" w:styleId="ListLabel30" w:customStyle="1">
    <w:name w:val="ListLabel 30"/>
    <w:qFormat/>
    <w:rsid w:val="005a5dab"/>
    <w:rPr>
      <w:rFonts w:cs="Courier New"/>
    </w:rPr>
  </w:style>
  <w:style w:type="character" w:styleId="ListLabel31" w:customStyle="1">
    <w:name w:val="ListLabel 31"/>
    <w:qFormat/>
    <w:rsid w:val="005a5dab"/>
    <w:rPr>
      <w:rFonts w:cs="Courier New"/>
    </w:rPr>
  </w:style>
  <w:style w:type="character" w:styleId="ListLabel32" w:customStyle="1">
    <w:name w:val="ListLabel 32"/>
    <w:qFormat/>
    <w:rsid w:val="005a5dab"/>
    <w:rPr>
      <w:rFonts w:cs="Courier New"/>
    </w:rPr>
  </w:style>
  <w:style w:type="character" w:styleId="ListLabel33" w:customStyle="1">
    <w:name w:val="ListLabel 33"/>
    <w:qFormat/>
    <w:rsid w:val="005a5dab"/>
    <w:rPr>
      <w:rFonts w:cs="Courier New"/>
    </w:rPr>
  </w:style>
  <w:style w:type="character" w:styleId="ListLabel34" w:customStyle="1">
    <w:name w:val="ListLabel 34"/>
    <w:qFormat/>
    <w:rsid w:val="005a5dab"/>
    <w:rPr>
      <w:rFonts w:cs="Courier New"/>
    </w:rPr>
  </w:style>
  <w:style w:type="character" w:styleId="ListLabel35" w:customStyle="1">
    <w:name w:val="ListLabel 35"/>
    <w:qFormat/>
    <w:rsid w:val="005a5dab"/>
    <w:rPr>
      <w:rFonts w:cs="Symbol"/>
    </w:rPr>
  </w:style>
  <w:style w:type="character" w:styleId="ListLabel36" w:customStyle="1">
    <w:name w:val="ListLabel 36"/>
    <w:qFormat/>
    <w:rsid w:val="005a5dab"/>
    <w:rPr>
      <w:rFonts w:cs="Courier New"/>
    </w:rPr>
  </w:style>
  <w:style w:type="character" w:styleId="ListLabel37" w:customStyle="1">
    <w:name w:val="ListLabel 37"/>
    <w:qFormat/>
    <w:rsid w:val="005a5dab"/>
    <w:rPr>
      <w:rFonts w:cs="Wingdings"/>
    </w:rPr>
  </w:style>
  <w:style w:type="character" w:styleId="ListLabel38" w:customStyle="1">
    <w:name w:val="ListLabel 38"/>
    <w:qFormat/>
    <w:rsid w:val="005a5dab"/>
    <w:rPr>
      <w:rFonts w:ascii="Century Gothic" w:hAnsi="Century Gothic" w:cs="Symbol"/>
      <w:b/>
    </w:rPr>
  </w:style>
  <w:style w:type="character" w:styleId="ListLabel39" w:customStyle="1">
    <w:name w:val="ListLabel 39"/>
    <w:qFormat/>
    <w:rsid w:val="005a5dab"/>
    <w:rPr>
      <w:rFonts w:cs="Courier New"/>
    </w:rPr>
  </w:style>
  <w:style w:type="character" w:styleId="ListLabel40" w:customStyle="1">
    <w:name w:val="ListLabel 40"/>
    <w:qFormat/>
    <w:rsid w:val="005a5dab"/>
    <w:rPr>
      <w:rFonts w:cs="Wingdings"/>
    </w:rPr>
  </w:style>
  <w:style w:type="character" w:styleId="ListLabel41" w:customStyle="1">
    <w:name w:val="ListLabel 41"/>
    <w:qFormat/>
    <w:rsid w:val="005a5dab"/>
    <w:rPr>
      <w:rFonts w:cs="Symbol"/>
    </w:rPr>
  </w:style>
  <w:style w:type="character" w:styleId="ListLabel42" w:customStyle="1">
    <w:name w:val="ListLabel 42"/>
    <w:qFormat/>
    <w:rsid w:val="005a5dab"/>
    <w:rPr>
      <w:rFonts w:cs="Courier New"/>
    </w:rPr>
  </w:style>
  <w:style w:type="character" w:styleId="ListLabel43" w:customStyle="1">
    <w:name w:val="ListLabel 43"/>
    <w:qFormat/>
    <w:rsid w:val="005a5dab"/>
    <w:rPr>
      <w:rFonts w:cs="Wingdings"/>
    </w:rPr>
  </w:style>
  <w:style w:type="character" w:styleId="ListLabel44" w:customStyle="1">
    <w:name w:val="ListLabel 44"/>
    <w:qFormat/>
    <w:rsid w:val="005a5dab"/>
    <w:rPr>
      <w:rFonts w:ascii="Century Gothic" w:hAnsi="Century Gothic" w:cs="Times New Roman"/>
      <w:b/>
    </w:rPr>
  </w:style>
  <w:style w:type="character" w:styleId="ListLabel45" w:customStyle="1">
    <w:name w:val="ListLabel 45"/>
    <w:qFormat/>
    <w:rsid w:val="005a5dab"/>
    <w:rPr>
      <w:rFonts w:cs="Courier New"/>
    </w:rPr>
  </w:style>
  <w:style w:type="character" w:styleId="ListLabel46" w:customStyle="1">
    <w:name w:val="ListLabel 46"/>
    <w:qFormat/>
    <w:rsid w:val="005a5dab"/>
    <w:rPr>
      <w:rFonts w:cs="Wingdings"/>
    </w:rPr>
  </w:style>
  <w:style w:type="character" w:styleId="ListLabel47" w:customStyle="1">
    <w:name w:val="ListLabel 47"/>
    <w:qFormat/>
    <w:rsid w:val="005a5dab"/>
    <w:rPr>
      <w:rFonts w:cs="Symbol"/>
    </w:rPr>
  </w:style>
  <w:style w:type="character" w:styleId="ListLabel48" w:customStyle="1">
    <w:name w:val="ListLabel 48"/>
    <w:qFormat/>
    <w:rsid w:val="005a5dab"/>
    <w:rPr>
      <w:rFonts w:cs="Courier New"/>
    </w:rPr>
  </w:style>
  <w:style w:type="character" w:styleId="ListLabel49" w:customStyle="1">
    <w:name w:val="ListLabel 49"/>
    <w:qFormat/>
    <w:rsid w:val="005a5dab"/>
    <w:rPr>
      <w:rFonts w:cs="Wingdings"/>
    </w:rPr>
  </w:style>
  <w:style w:type="character" w:styleId="ListLabel50" w:customStyle="1">
    <w:name w:val="ListLabel 50"/>
    <w:qFormat/>
    <w:rsid w:val="005a5dab"/>
    <w:rPr>
      <w:rFonts w:cs="Symbol"/>
    </w:rPr>
  </w:style>
  <w:style w:type="character" w:styleId="ListLabel51" w:customStyle="1">
    <w:name w:val="ListLabel 51"/>
    <w:qFormat/>
    <w:rsid w:val="005a5dab"/>
    <w:rPr>
      <w:rFonts w:cs="Courier New"/>
    </w:rPr>
  </w:style>
  <w:style w:type="character" w:styleId="ListLabel52" w:customStyle="1">
    <w:name w:val="ListLabel 52"/>
    <w:qFormat/>
    <w:rsid w:val="005a5dab"/>
    <w:rPr>
      <w:rFonts w:cs="Wingdings"/>
    </w:rPr>
  </w:style>
  <w:style w:type="character" w:styleId="ListLabel53" w:customStyle="1">
    <w:name w:val="ListLabel 53"/>
    <w:qFormat/>
    <w:rsid w:val="005a5dab"/>
    <w:rPr>
      <w:rFonts w:ascii="Century Gothic" w:hAnsi="Century Gothic"/>
      <w:b/>
      <w:i w:val="false"/>
    </w:rPr>
  </w:style>
  <w:style w:type="character" w:styleId="ListLabel54" w:customStyle="1">
    <w:name w:val="ListLabel 54"/>
    <w:qFormat/>
    <w:rsid w:val="005a5dab"/>
    <w:rPr>
      <w:rFonts w:ascii="Century Gothic" w:hAnsi="Century Gothic"/>
      <w:strike w:val="false"/>
      <w:dstrike w:val="false"/>
      <w:color w:val="00000A"/>
      <w:sz w:val="22"/>
    </w:rPr>
  </w:style>
  <w:style w:type="character" w:styleId="ListLabel55" w:customStyle="1">
    <w:name w:val="ListLabel 55"/>
    <w:qFormat/>
    <w:rsid w:val="005a5dab"/>
    <w:rPr>
      <w:rFonts w:ascii="Century Gothic" w:hAnsi="Century Gothic"/>
      <w:color w:val="000000"/>
    </w:rPr>
  </w:style>
  <w:style w:type="character" w:styleId="ListLabel56" w:customStyle="1">
    <w:name w:val="ListLabel 56"/>
    <w:qFormat/>
    <w:rsid w:val="005a5dab"/>
    <w:rPr>
      <w:rFonts w:ascii="Century Gothic" w:hAnsi="Century Gothic"/>
    </w:rPr>
  </w:style>
  <w:style w:type="character" w:styleId="ListLabel57" w:customStyle="1">
    <w:name w:val="ListLabel 57"/>
    <w:qFormat/>
    <w:rsid w:val="005a5dab"/>
    <w:rPr>
      <w:rFonts w:cs="Symbol"/>
    </w:rPr>
  </w:style>
  <w:style w:type="character" w:styleId="ListLabel58" w:customStyle="1">
    <w:name w:val="ListLabel 58"/>
    <w:qFormat/>
    <w:rsid w:val="005a5dab"/>
    <w:rPr>
      <w:rFonts w:cs="Courier New"/>
    </w:rPr>
  </w:style>
  <w:style w:type="character" w:styleId="ListLabel59" w:customStyle="1">
    <w:name w:val="ListLabel 59"/>
    <w:qFormat/>
    <w:rsid w:val="005a5dab"/>
    <w:rPr>
      <w:rFonts w:cs="Wingdings"/>
    </w:rPr>
  </w:style>
  <w:style w:type="character" w:styleId="ListLabel60" w:customStyle="1">
    <w:name w:val="ListLabel 60"/>
    <w:qFormat/>
    <w:rsid w:val="005a5dab"/>
    <w:rPr>
      <w:rFonts w:ascii="Century Gothic" w:hAnsi="Century Gothic" w:cs="Times New Roman"/>
      <w:b/>
    </w:rPr>
  </w:style>
  <w:style w:type="character" w:styleId="ListLabel61" w:customStyle="1">
    <w:name w:val="ListLabel 61"/>
    <w:qFormat/>
    <w:rsid w:val="005a5dab"/>
    <w:rPr>
      <w:rFonts w:cs="Courier New"/>
    </w:rPr>
  </w:style>
  <w:style w:type="character" w:styleId="ListLabel62" w:customStyle="1">
    <w:name w:val="ListLabel 62"/>
    <w:qFormat/>
    <w:rsid w:val="005a5dab"/>
    <w:rPr>
      <w:rFonts w:cs="Wingdings"/>
    </w:rPr>
  </w:style>
  <w:style w:type="character" w:styleId="ListLabel63" w:customStyle="1">
    <w:name w:val="ListLabel 63"/>
    <w:qFormat/>
    <w:rsid w:val="005a5dab"/>
    <w:rPr>
      <w:rFonts w:cs="Symbol"/>
    </w:rPr>
  </w:style>
  <w:style w:type="character" w:styleId="ListLabel64" w:customStyle="1">
    <w:name w:val="ListLabel 64"/>
    <w:qFormat/>
    <w:rsid w:val="005a5dab"/>
    <w:rPr>
      <w:rFonts w:cs="Courier New"/>
    </w:rPr>
  </w:style>
  <w:style w:type="character" w:styleId="ListLabel65" w:customStyle="1">
    <w:name w:val="ListLabel 65"/>
    <w:qFormat/>
    <w:rsid w:val="005a5dab"/>
    <w:rPr>
      <w:rFonts w:cs="Wingdings"/>
    </w:rPr>
  </w:style>
  <w:style w:type="character" w:styleId="ListLabel66" w:customStyle="1">
    <w:name w:val="ListLabel 66"/>
    <w:qFormat/>
    <w:rsid w:val="005a5dab"/>
    <w:rPr>
      <w:rFonts w:ascii="Century Gothic" w:hAnsi="Century Gothic" w:cs="Symbol"/>
      <w:sz w:val="24"/>
    </w:rPr>
  </w:style>
  <w:style w:type="character" w:styleId="ListLabel67" w:customStyle="1">
    <w:name w:val="ListLabel 67"/>
    <w:qFormat/>
    <w:rsid w:val="005a5dab"/>
    <w:rPr>
      <w:rFonts w:cs="Courier New"/>
    </w:rPr>
  </w:style>
  <w:style w:type="character" w:styleId="ListLabel68" w:customStyle="1">
    <w:name w:val="ListLabel 68"/>
    <w:qFormat/>
    <w:rsid w:val="005a5dab"/>
    <w:rPr>
      <w:rFonts w:cs="Wingdings"/>
    </w:rPr>
  </w:style>
  <w:style w:type="character" w:styleId="ListLabel69" w:customStyle="1">
    <w:name w:val="ListLabel 69"/>
    <w:qFormat/>
    <w:rsid w:val="005a5dab"/>
    <w:rPr>
      <w:rFonts w:cs="Symbol"/>
    </w:rPr>
  </w:style>
  <w:style w:type="character" w:styleId="ListLabel70" w:customStyle="1">
    <w:name w:val="ListLabel 70"/>
    <w:qFormat/>
    <w:rsid w:val="005a5dab"/>
    <w:rPr>
      <w:rFonts w:cs="Courier New"/>
    </w:rPr>
  </w:style>
  <w:style w:type="character" w:styleId="ListLabel71" w:customStyle="1">
    <w:name w:val="ListLabel 71"/>
    <w:qFormat/>
    <w:rsid w:val="005a5dab"/>
    <w:rPr>
      <w:rFonts w:cs="Wingdings"/>
    </w:rPr>
  </w:style>
  <w:style w:type="character" w:styleId="ListLabel72" w:customStyle="1">
    <w:name w:val="ListLabel 72"/>
    <w:qFormat/>
    <w:rsid w:val="005a5dab"/>
    <w:rPr>
      <w:rFonts w:cs="Symbol"/>
    </w:rPr>
  </w:style>
  <w:style w:type="character" w:styleId="ListLabel73" w:customStyle="1">
    <w:name w:val="ListLabel 73"/>
    <w:qFormat/>
    <w:rsid w:val="005a5dab"/>
    <w:rPr>
      <w:rFonts w:cs="Courier New"/>
    </w:rPr>
  </w:style>
  <w:style w:type="character" w:styleId="ListLabel74" w:customStyle="1">
    <w:name w:val="ListLabel 74"/>
    <w:qFormat/>
    <w:rsid w:val="005a5dab"/>
    <w:rPr>
      <w:rFonts w:cs="Wingdings"/>
    </w:rPr>
  </w:style>
  <w:style w:type="character" w:styleId="ListLabel75">
    <w:name w:val="ListLabel 75"/>
    <w:qFormat/>
    <w:rPr>
      <w:rFonts w:cs="Symbol"/>
    </w:rPr>
  </w:style>
  <w:style w:type="character" w:styleId="ListLabel76">
    <w:name w:val="ListLabel 76"/>
    <w:qFormat/>
    <w:rPr>
      <w:rFonts w:cs="Courier New"/>
    </w:rPr>
  </w:style>
  <w:style w:type="character" w:styleId="ListLabel77">
    <w:name w:val="ListLabel 77"/>
    <w:qFormat/>
    <w:rPr>
      <w:rFonts w:cs="Wingdings"/>
    </w:rPr>
  </w:style>
  <w:style w:type="character" w:styleId="ListLabel78">
    <w:name w:val="ListLabel 78"/>
    <w:qFormat/>
    <w:rPr>
      <w:rFonts w:ascii="Century Gothic" w:hAnsi="Century Gothic" w:cs="Symbol"/>
      <w:b/>
    </w:rPr>
  </w:style>
  <w:style w:type="character" w:styleId="ListLabel79">
    <w:name w:val="ListLabel 79"/>
    <w:qFormat/>
    <w:rPr>
      <w:rFonts w:cs="Courier New"/>
    </w:rPr>
  </w:style>
  <w:style w:type="character" w:styleId="ListLabel80">
    <w:name w:val="ListLabel 80"/>
    <w:qFormat/>
    <w:rPr>
      <w:rFonts w:cs="Wingdings"/>
    </w:rPr>
  </w:style>
  <w:style w:type="character" w:styleId="ListLabel81">
    <w:name w:val="ListLabel 81"/>
    <w:qFormat/>
    <w:rPr>
      <w:rFonts w:cs="Symbol"/>
    </w:rPr>
  </w:style>
  <w:style w:type="character" w:styleId="ListLabel82">
    <w:name w:val="ListLabel 82"/>
    <w:qFormat/>
    <w:rPr>
      <w:rFonts w:cs="Courier New"/>
    </w:rPr>
  </w:style>
  <w:style w:type="character" w:styleId="ListLabel83">
    <w:name w:val="ListLabel 83"/>
    <w:qFormat/>
    <w:rPr>
      <w:rFonts w:cs="Wingdings"/>
    </w:rPr>
  </w:style>
  <w:style w:type="character" w:styleId="ListLabel84">
    <w:name w:val="ListLabel 84"/>
    <w:qFormat/>
    <w:rPr>
      <w:rFonts w:ascii="Century Gothic" w:hAnsi="Century Gothic" w:cs="Times New Roman"/>
      <w:b/>
    </w:rPr>
  </w:style>
  <w:style w:type="character" w:styleId="ListLabel85">
    <w:name w:val="ListLabel 85"/>
    <w:qFormat/>
    <w:rPr>
      <w:rFonts w:cs="Courier New"/>
    </w:rPr>
  </w:style>
  <w:style w:type="character" w:styleId="ListLabel86">
    <w:name w:val="ListLabel 86"/>
    <w:qFormat/>
    <w:rPr>
      <w:rFonts w:cs="Wingdings"/>
    </w:rPr>
  </w:style>
  <w:style w:type="character" w:styleId="ListLabel87">
    <w:name w:val="ListLabel 87"/>
    <w:qFormat/>
    <w:rPr>
      <w:rFonts w:cs="Symbol"/>
    </w:rPr>
  </w:style>
  <w:style w:type="character" w:styleId="ListLabel88">
    <w:name w:val="ListLabel 88"/>
    <w:qFormat/>
    <w:rPr>
      <w:rFonts w:cs="Courier New"/>
    </w:rPr>
  </w:style>
  <w:style w:type="character" w:styleId="ListLabel89">
    <w:name w:val="ListLabel 89"/>
    <w:qFormat/>
    <w:rPr>
      <w:rFonts w:cs="Wingdings"/>
    </w:rPr>
  </w:style>
  <w:style w:type="character" w:styleId="ListLabel90">
    <w:name w:val="ListLabel 90"/>
    <w:qFormat/>
    <w:rPr>
      <w:rFonts w:cs="Symbol"/>
    </w:rPr>
  </w:style>
  <w:style w:type="character" w:styleId="ListLabel91">
    <w:name w:val="ListLabel 91"/>
    <w:qFormat/>
    <w:rPr>
      <w:rFonts w:cs="Courier New"/>
    </w:rPr>
  </w:style>
  <w:style w:type="character" w:styleId="ListLabel92">
    <w:name w:val="ListLabel 92"/>
    <w:qFormat/>
    <w:rPr>
      <w:rFonts w:cs="Wingdings"/>
    </w:rPr>
  </w:style>
  <w:style w:type="character" w:styleId="ListLabel93">
    <w:name w:val="ListLabel 93"/>
    <w:qFormat/>
    <w:rPr>
      <w:b/>
      <w:i w:val="false"/>
    </w:rPr>
  </w:style>
  <w:style w:type="character" w:styleId="ListLabel94">
    <w:name w:val="ListLabel 94"/>
    <w:qFormat/>
    <w:rPr>
      <w:strike w:val="false"/>
      <w:dstrike w:val="false"/>
      <w:color w:val="00000A"/>
      <w:sz w:val="22"/>
    </w:rPr>
  </w:style>
  <w:style w:type="character" w:styleId="ListLabel95">
    <w:name w:val="ListLabel 95"/>
    <w:qFormat/>
    <w:rPr>
      <w:rFonts w:ascii="Century Gothic" w:hAnsi="Century Gothic"/>
      <w:color w:val="000000"/>
    </w:rPr>
  </w:style>
  <w:style w:type="character" w:styleId="ListLabel96">
    <w:name w:val="ListLabel 96"/>
    <w:qFormat/>
    <w:rPr>
      <w:rFonts w:cs="Symbol"/>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ascii="Century Gothic" w:hAnsi="Century Gothic" w:cs="Times New Roman"/>
      <w:b/>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ascii="Century Gothic" w:hAnsi="Century Gothic" w:cs="Symbol"/>
      <w:sz w:val="24"/>
    </w:rPr>
  </w:style>
  <w:style w:type="character" w:styleId="ListLabel106">
    <w:name w:val="ListLabel 106"/>
    <w:qFormat/>
    <w:rPr>
      <w:rFonts w:cs="Courier New"/>
    </w:rPr>
  </w:style>
  <w:style w:type="character" w:styleId="ListLabel107">
    <w:name w:val="ListLabel 107"/>
    <w:qFormat/>
    <w:rPr>
      <w:rFonts w:cs="Wingdings"/>
    </w:rPr>
  </w:style>
  <w:style w:type="character" w:styleId="ListLabel108">
    <w:name w:val="ListLabel 108"/>
    <w:qFormat/>
    <w:rPr>
      <w:rFonts w:cs="Symbol"/>
    </w:rPr>
  </w:style>
  <w:style w:type="character" w:styleId="ListLabel109">
    <w:name w:val="ListLabel 109"/>
    <w:qFormat/>
    <w:rPr>
      <w:rFonts w:cs="Courier New"/>
    </w:rPr>
  </w:style>
  <w:style w:type="character" w:styleId="ListLabel110">
    <w:name w:val="ListLabel 110"/>
    <w:qFormat/>
    <w:rPr>
      <w:rFonts w:cs="Wingdings"/>
    </w:rPr>
  </w:style>
  <w:style w:type="character" w:styleId="ListLabel111">
    <w:name w:val="ListLabel 111"/>
    <w:qFormat/>
    <w:rPr>
      <w:rFonts w:cs="Symbol"/>
    </w:rPr>
  </w:style>
  <w:style w:type="character" w:styleId="ListLabel112">
    <w:name w:val="ListLabel 112"/>
    <w:qFormat/>
    <w:rPr>
      <w:rFonts w:cs="Courier New"/>
    </w:rPr>
  </w:style>
  <w:style w:type="character" w:styleId="ListLabel113">
    <w:name w:val="ListLabel 113"/>
    <w:qFormat/>
    <w:rPr>
      <w:rFonts w:cs="Wingdings"/>
    </w:rPr>
  </w:style>
  <w:style w:type="character" w:styleId="ListLabel114">
    <w:name w:val="ListLabel 114"/>
    <w:qFormat/>
    <w:rPr>
      <w:rFonts w:cs="Symbol"/>
    </w:rPr>
  </w:style>
  <w:style w:type="character" w:styleId="ListLabel115">
    <w:name w:val="ListLabel 115"/>
    <w:qFormat/>
    <w:rPr>
      <w:rFonts w:cs="Courier New"/>
    </w:rPr>
  </w:style>
  <w:style w:type="character" w:styleId="ListLabel116">
    <w:name w:val="ListLabel 116"/>
    <w:qFormat/>
    <w:rPr>
      <w:rFonts w:cs="Wingdings"/>
    </w:rPr>
  </w:style>
  <w:style w:type="character" w:styleId="ListLabel117">
    <w:name w:val="ListLabel 117"/>
    <w:qFormat/>
    <w:rPr>
      <w:rFonts w:ascii="Century Gothic" w:hAnsi="Century Gothic" w:cs="Symbol"/>
      <w:b/>
    </w:rPr>
  </w:style>
  <w:style w:type="character" w:styleId="ListLabel118">
    <w:name w:val="ListLabel 118"/>
    <w:qFormat/>
    <w:rPr>
      <w:rFonts w:cs="Courier New"/>
    </w:rPr>
  </w:style>
  <w:style w:type="character" w:styleId="ListLabel119">
    <w:name w:val="ListLabel 119"/>
    <w:qFormat/>
    <w:rPr>
      <w:rFonts w:cs="Wingdings"/>
    </w:rPr>
  </w:style>
  <w:style w:type="character" w:styleId="ListLabel120">
    <w:name w:val="ListLabel 120"/>
    <w:qFormat/>
    <w:rPr>
      <w:rFonts w:cs="Symbol"/>
    </w:rPr>
  </w:style>
  <w:style w:type="character" w:styleId="ListLabel121">
    <w:name w:val="ListLabel 121"/>
    <w:qFormat/>
    <w:rPr>
      <w:rFonts w:cs="Courier New"/>
    </w:rPr>
  </w:style>
  <w:style w:type="character" w:styleId="ListLabel122">
    <w:name w:val="ListLabel 122"/>
    <w:qFormat/>
    <w:rPr>
      <w:rFonts w:cs="Wingdings"/>
    </w:rPr>
  </w:style>
  <w:style w:type="character" w:styleId="ListLabel123">
    <w:name w:val="ListLabel 123"/>
    <w:qFormat/>
    <w:rPr>
      <w:rFonts w:ascii="Century Gothic" w:hAnsi="Century Gothic" w:cs="Times New Roman"/>
      <w:b/>
    </w:rPr>
  </w:style>
  <w:style w:type="character" w:styleId="ListLabel124">
    <w:name w:val="ListLabel 124"/>
    <w:qFormat/>
    <w:rPr>
      <w:rFonts w:cs="Courier New"/>
    </w:rPr>
  </w:style>
  <w:style w:type="character" w:styleId="ListLabel125">
    <w:name w:val="ListLabel 125"/>
    <w:qFormat/>
    <w:rPr>
      <w:rFonts w:cs="Wingdings"/>
    </w:rPr>
  </w:style>
  <w:style w:type="character" w:styleId="ListLabel126">
    <w:name w:val="ListLabel 126"/>
    <w:qFormat/>
    <w:rPr>
      <w:rFonts w:cs="Symbol"/>
    </w:rPr>
  </w:style>
  <w:style w:type="character" w:styleId="ListLabel127">
    <w:name w:val="ListLabel 127"/>
    <w:qFormat/>
    <w:rPr>
      <w:rFonts w:cs="Courier New"/>
    </w:rPr>
  </w:style>
  <w:style w:type="character" w:styleId="ListLabel128">
    <w:name w:val="ListLabel 128"/>
    <w:qFormat/>
    <w:rPr>
      <w:rFonts w:cs="Wingdings"/>
    </w:rPr>
  </w:style>
  <w:style w:type="character" w:styleId="ListLabel129">
    <w:name w:val="ListLabel 129"/>
    <w:qFormat/>
    <w:rPr>
      <w:rFonts w:cs="Symbol"/>
    </w:rPr>
  </w:style>
  <w:style w:type="character" w:styleId="ListLabel130">
    <w:name w:val="ListLabel 130"/>
    <w:qFormat/>
    <w:rPr>
      <w:rFonts w:cs="Courier New"/>
    </w:rPr>
  </w:style>
  <w:style w:type="character" w:styleId="ListLabel131">
    <w:name w:val="ListLabel 131"/>
    <w:qFormat/>
    <w:rPr>
      <w:rFonts w:cs="Wingdings"/>
    </w:rPr>
  </w:style>
  <w:style w:type="character" w:styleId="ListLabel132">
    <w:name w:val="ListLabel 132"/>
    <w:qFormat/>
    <w:rPr>
      <w:b/>
      <w:i w:val="false"/>
    </w:rPr>
  </w:style>
  <w:style w:type="character" w:styleId="ListLabel133">
    <w:name w:val="ListLabel 133"/>
    <w:qFormat/>
    <w:rPr>
      <w:strike w:val="false"/>
      <w:dstrike w:val="false"/>
      <w:color w:val="00000A"/>
      <w:sz w:val="22"/>
    </w:rPr>
  </w:style>
  <w:style w:type="character" w:styleId="ListLabel134">
    <w:name w:val="ListLabel 134"/>
    <w:qFormat/>
    <w:rPr>
      <w:rFonts w:ascii="Century Gothic" w:hAnsi="Century Gothic"/>
      <w:color w:val="000000"/>
    </w:rPr>
  </w:style>
  <w:style w:type="character" w:styleId="ListLabel135">
    <w:name w:val="ListLabel 135"/>
    <w:qFormat/>
    <w:rPr>
      <w:rFonts w:cs="Symbol"/>
    </w:rPr>
  </w:style>
  <w:style w:type="character" w:styleId="ListLabel136">
    <w:name w:val="ListLabel 136"/>
    <w:qFormat/>
    <w:rPr>
      <w:rFonts w:cs="Courier New"/>
    </w:rPr>
  </w:style>
  <w:style w:type="character" w:styleId="ListLabel137">
    <w:name w:val="ListLabel 137"/>
    <w:qFormat/>
    <w:rPr>
      <w:rFonts w:cs="Wingdings"/>
    </w:rPr>
  </w:style>
  <w:style w:type="character" w:styleId="ListLabel138">
    <w:name w:val="ListLabel 138"/>
    <w:qFormat/>
    <w:rPr>
      <w:rFonts w:ascii="Century Gothic" w:hAnsi="Century Gothic" w:cs="Times New Roman"/>
      <w:b/>
    </w:rPr>
  </w:style>
  <w:style w:type="character" w:styleId="ListLabel139">
    <w:name w:val="ListLabel 139"/>
    <w:qFormat/>
    <w:rPr>
      <w:rFonts w:cs="Courier New"/>
    </w:rPr>
  </w:style>
  <w:style w:type="character" w:styleId="ListLabel140">
    <w:name w:val="ListLabel 140"/>
    <w:qFormat/>
    <w:rPr>
      <w:rFonts w:cs="Wingdings"/>
    </w:rPr>
  </w:style>
  <w:style w:type="character" w:styleId="ListLabel141">
    <w:name w:val="ListLabel 141"/>
    <w:qFormat/>
    <w:rPr>
      <w:rFonts w:cs="Symbol"/>
    </w:rPr>
  </w:style>
  <w:style w:type="character" w:styleId="ListLabel142">
    <w:name w:val="ListLabel 142"/>
    <w:qFormat/>
    <w:rPr>
      <w:rFonts w:cs="Courier New"/>
    </w:rPr>
  </w:style>
  <w:style w:type="character" w:styleId="ListLabel143">
    <w:name w:val="ListLabel 143"/>
    <w:qFormat/>
    <w:rPr>
      <w:rFonts w:cs="Wingdings"/>
    </w:rPr>
  </w:style>
  <w:style w:type="character" w:styleId="ListLabel144">
    <w:name w:val="ListLabel 144"/>
    <w:qFormat/>
    <w:rPr>
      <w:rFonts w:ascii="Century Gothic" w:hAnsi="Century Gothic" w:cs="Symbol"/>
      <w:sz w:val="24"/>
    </w:rPr>
  </w:style>
  <w:style w:type="character" w:styleId="ListLabel145">
    <w:name w:val="ListLabel 145"/>
    <w:qFormat/>
    <w:rPr>
      <w:rFonts w:cs="Courier New"/>
    </w:rPr>
  </w:style>
  <w:style w:type="character" w:styleId="ListLabel146">
    <w:name w:val="ListLabel 146"/>
    <w:qFormat/>
    <w:rPr>
      <w:rFonts w:cs="Wingdings"/>
    </w:rPr>
  </w:style>
  <w:style w:type="character" w:styleId="ListLabel147">
    <w:name w:val="ListLabel 147"/>
    <w:qFormat/>
    <w:rPr>
      <w:rFonts w:cs="Symbol"/>
    </w:rPr>
  </w:style>
  <w:style w:type="character" w:styleId="ListLabel148">
    <w:name w:val="ListLabel 148"/>
    <w:qFormat/>
    <w:rPr>
      <w:rFonts w:cs="Courier New"/>
    </w:rPr>
  </w:style>
  <w:style w:type="character" w:styleId="ListLabel149">
    <w:name w:val="ListLabel 149"/>
    <w:qFormat/>
    <w:rPr>
      <w:rFonts w:cs="Wingdings"/>
    </w:rPr>
  </w:style>
  <w:style w:type="character" w:styleId="ListLabel150">
    <w:name w:val="ListLabel 150"/>
    <w:qFormat/>
    <w:rPr>
      <w:rFonts w:cs="Symbol"/>
    </w:rPr>
  </w:style>
  <w:style w:type="character" w:styleId="ListLabel151">
    <w:name w:val="ListLabel 151"/>
    <w:qFormat/>
    <w:rPr>
      <w:rFonts w:cs="Courier New"/>
    </w:rPr>
  </w:style>
  <w:style w:type="character" w:styleId="ListLabel152">
    <w:name w:val="ListLabel 152"/>
    <w:qFormat/>
    <w:rPr>
      <w:rFonts w:cs="Wingdings"/>
    </w:rPr>
  </w:style>
  <w:style w:type="character" w:styleId="ListLabel153">
    <w:name w:val="ListLabel 153"/>
    <w:qFormat/>
    <w:rPr>
      <w:rFonts w:cs="Symbol"/>
    </w:rPr>
  </w:style>
  <w:style w:type="character" w:styleId="ListLabel154">
    <w:name w:val="ListLabel 154"/>
    <w:qFormat/>
    <w:rPr>
      <w:rFonts w:cs="Courier New"/>
    </w:rPr>
  </w:style>
  <w:style w:type="character" w:styleId="ListLabel155">
    <w:name w:val="ListLabel 155"/>
    <w:qFormat/>
    <w:rPr>
      <w:rFonts w:cs="Wingdings"/>
    </w:rPr>
  </w:style>
  <w:style w:type="character" w:styleId="ListLabel156">
    <w:name w:val="ListLabel 156"/>
    <w:qFormat/>
    <w:rPr>
      <w:rFonts w:ascii="Century Gothic" w:hAnsi="Century Gothic" w:cs="Symbol"/>
      <w:b/>
    </w:rPr>
  </w:style>
  <w:style w:type="character" w:styleId="ListLabel157">
    <w:name w:val="ListLabel 157"/>
    <w:qFormat/>
    <w:rPr>
      <w:rFonts w:cs="Courier New"/>
    </w:rPr>
  </w:style>
  <w:style w:type="character" w:styleId="ListLabel158">
    <w:name w:val="ListLabel 158"/>
    <w:qFormat/>
    <w:rPr>
      <w:rFonts w:cs="Wingdings"/>
    </w:rPr>
  </w:style>
  <w:style w:type="character" w:styleId="ListLabel159">
    <w:name w:val="ListLabel 159"/>
    <w:qFormat/>
    <w:rPr>
      <w:rFonts w:cs="Symbol"/>
    </w:rPr>
  </w:style>
  <w:style w:type="character" w:styleId="ListLabel160">
    <w:name w:val="ListLabel 160"/>
    <w:qFormat/>
    <w:rPr>
      <w:rFonts w:cs="Courier New"/>
    </w:rPr>
  </w:style>
  <w:style w:type="character" w:styleId="ListLabel161">
    <w:name w:val="ListLabel 161"/>
    <w:qFormat/>
    <w:rPr>
      <w:rFonts w:cs="Wingdings"/>
    </w:rPr>
  </w:style>
  <w:style w:type="character" w:styleId="ListLabel162">
    <w:name w:val="ListLabel 162"/>
    <w:qFormat/>
    <w:rPr>
      <w:rFonts w:ascii="Century Gothic" w:hAnsi="Century Gothic" w:cs="Times New Roman"/>
      <w:b/>
    </w:rPr>
  </w:style>
  <w:style w:type="character" w:styleId="ListLabel163">
    <w:name w:val="ListLabel 163"/>
    <w:qFormat/>
    <w:rPr>
      <w:rFonts w:cs="Courier New"/>
    </w:rPr>
  </w:style>
  <w:style w:type="character" w:styleId="ListLabel164">
    <w:name w:val="ListLabel 164"/>
    <w:qFormat/>
    <w:rPr>
      <w:rFonts w:cs="Wingdings"/>
    </w:rPr>
  </w:style>
  <w:style w:type="character" w:styleId="ListLabel165">
    <w:name w:val="ListLabel 165"/>
    <w:qFormat/>
    <w:rPr>
      <w:rFonts w:cs="Symbol"/>
    </w:rPr>
  </w:style>
  <w:style w:type="character" w:styleId="ListLabel166">
    <w:name w:val="ListLabel 166"/>
    <w:qFormat/>
    <w:rPr>
      <w:rFonts w:cs="Courier New"/>
    </w:rPr>
  </w:style>
  <w:style w:type="character" w:styleId="ListLabel167">
    <w:name w:val="ListLabel 167"/>
    <w:qFormat/>
    <w:rPr>
      <w:rFonts w:cs="Wingdings"/>
    </w:rPr>
  </w:style>
  <w:style w:type="character" w:styleId="ListLabel168">
    <w:name w:val="ListLabel 168"/>
    <w:qFormat/>
    <w:rPr>
      <w:rFonts w:cs="Symbol"/>
    </w:rPr>
  </w:style>
  <w:style w:type="character" w:styleId="ListLabel169">
    <w:name w:val="ListLabel 169"/>
    <w:qFormat/>
    <w:rPr>
      <w:rFonts w:cs="Courier New"/>
    </w:rPr>
  </w:style>
  <w:style w:type="character" w:styleId="ListLabel170">
    <w:name w:val="ListLabel 170"/>
    <w:qFormat/>
    <w:rPr>
      <w:rFonts w:cs="Wingdings"/>
    </w:rPr>
  </w:style>
  <w:style w:type="character" w:styleId="ListLabel171">
    <w:name w:val="ListLabel 171"/>
    <w:qFormat/>
    <w:rPr>
      <w:b/>
      <w:i w:val="false"/>
    </w:rPr>
  </w:style>
  <w:style w:type="character" w:styleId="ListLabel172">
    <w:name w:val="ListLabel 172"/>
    <w:qFormat/>
    <w:rPr>
      <w:strike w:val="false"/>
      <w:dstrike w:val="false"/>
      <w:color w:val="00000A"/>
      <w:sz w:val="22"/>
    </w:rPr>
  </w:style>
  <w:style w:type="character" w:styleId="ListLabel173">
    <w:name w:val="ListLabel 173"/>
    <w:qFormat/>
    <w:rPr>
      <w:rFonts w:ascii="Century Gothic" w:hAnsi="Century Gothic"/>
      <w:color w:val="000000"/>
    </w:rPr>
  </w:style>
  <w:style w:type="character" w:styleId="ListLabel174">
    <w:name w:val="ListLabel 174"/>
    <w:qFormat/>
    <w:rPr>
      <w:rFonts w:cs="Symbol"/>
    </w:rPr>
  </w:style>
  <w:style w:type="character" w:styleId="ListLabel175">
    <w:name w:val="ListLabel 175"/>
    <w:qFormat/>
    <w:rPr>
      <w:rFonts w:cs="Courier New"/>
    </w:rPr>
  </w:style>
  <w:style w:type="character" w:styleId="ListLabel176">
    <w:name w:val="ListLabel 176"/>
    <w:qFormat/>
    <w:rPr>
      <w:rFonts w:cs="Wingdings"/>
    </w:rPr>
  </w:style>
  <w:style w:type="character" w:styleId="ListLabel177">
    <w:name w:val="ListLabel 177"/>
    <w:qFormat/>
    <w:rPr>
      <w:rFonts w:ascii="Century Gothic" w:hAnsi="Century Gothic" w:cs="Times New Roman"/>
      <w:b/>
    </w:rPr>
  </w:style>
  <w:style w:type="character" w:styleId="ListLabel178">
    <w:name w:val="ListLabel 178"/>
    <w:qFormat/>
    <w:rPr>
      <w:rFonts w:cs="Courier New"/>
    </w:rPr>
  </w:style>
  <w:style w:type="character" w:styleId="ListLabel179">
    <w:name w:val="ListLabel 179"/>
    <w:qFormat/>
    <w:rPr>
      <w:rFonts w:cs="Wingdings"/>
    </w:rPr>
  </w:style>
  <w:style w:type="character" w:styleId="ListLabel180">
    <w:name w:val="ListLabel 180"/>
    <w:qFormat/>
    <w:rPr>
      <w:rFonts w:cs="Symbol"/>
    </w:rPr>
  </w:style>
  <w:style w:type="character" w:styleId="ListLabel181">
    <w:name w:val="ListLabel 181"/>
    <w:qFormat/>
    <w:rPr>
      <w:rFonts w:cs="Courier New"/>
    </w:rPr>
  </w:style>
  <w:style w:type="character" w:styleId="ListLabel182">
    <w:name w:val="ListLabel 182"/>
    <w:qFormat/>
    <w:rPr>
      <w:rFonts w:cs="Wingdings"/>
    </w:rPr>
  </w:style>
  <w:style w:type="character" w:styleId="ListLabel183">
    <w:name w:val="ListLabel 183"/>
    <w:qFormat/>
    <w:rPr>
      <w:rFonts w:ascii="Century Gothic" w:hAnsi="Century Gothic" w:cs="Symbol"/>
      <w:sz w:val="24"/>
    </w:rPr>
  </w:style>
  <w:style w:type="character" w:styleId="ListLabel184">
    <w:name w:val="ListLabel 184"/>
    <w:qFormat/>
    <w:rPr>
      <w:rFonts w:cs="Courier New"/>
    </w:rPr>
  </w:style>
  <w:style w:type="character" w:styleId="ListLabel185">
    <w:name w:val="ListLabel 185"/>
    <w:qFormat/>
    <w:rPr>
      <w:rFonts w:cs="Wingdings"/>
    </w:rPr>
  </w:style>
  <w:style w:type="character" w:styleId="ListLabel186">
    <w:name w:val="ListLabel 186"/>
    <w:qFormat/>
    <w:rPr>
      <w:rFonts w:cs="Symbol"/>
    </w:rPr>
  </w:style>
  <w:style w:type="character" w:styleId="ListLabel187">
    <w:name w:val="ListLabel 187"/>
    <w:qFormat/>
    <w:rPr>
      <w:rFonts w:cs="Courier New"/>
    </w:rPr>
  </w:style>
  <w:style w:type="character" w:styleId="ListLabel188">
    <w:name w:val="ListLabel 188"/>
    <w:qFormat/>
    <w:rPr>
      <w:rFonts w:cs="Wingdings"/>
    </w:rPr>
  </w:style>
  <w:style w:type="character" w:styleId="ListLabel189">
    <w:name w:val="ListLabel 189"/>
    <w:qFormat/>
    <w:rPr>
      <w:rFonts w:cs="Symbol"/>
    </w:rPr>
  </w:style>
  <w:style w:type="character" w:styleId="ListLabel190">
    <w:name w:val="ListLabel 190"/>
    <w:qFormat/>
    <w:rPr>
      <w:rFonts w:cs="Courier New"/>
    </w:rPr>
  </w:style>
  <w:style w:type="character" w:styleId="ListLabel191">
    <w:name w:val="ListLabel 191"/>
    <w:qFormat/>
    <w:rPr>
      <w:rFonts w:cs="Wingdings"/>
    </w:rPr>
  </w:style>
  <w:style w:type="character" w:styleId="ListLabel192">
    <w:name w:val="ListLabel 192"/>
    <w:qFormat/>
    <w:rPr>
      <w:rFonts w:cs="Symbol"/>
    </w:rPr>
  </w:style>
  <w:style w:type="character" w:styleId="ListLabel193">
    <w:name w:val="ListLabel 193"/>
    <w:qFormat/>
    <w:rPr>
      <w:rFonts w:cs="Courier New"/>
    </w:rPr>
  </w:style>
  <w:style w:type="character" w:styleId="ListLabel194">
    <w:name w:val="ListLabel 194"/>
    <w:qFormat/>
    <w:rPr>
      <w:rFonts w:cs="Wingdings"/>
    </w:rPr>
  </w:style>
  <w:style w:type="character" w:styleId="ListLabel195">
    <w:name w:val="ListLabel 195"/>
    <w:qFormat/>
    <w:rPr>
      <w:rFonts w:ascii="Century Gothic" w:hAnsi="Century Gothic" w:cs="Symbol"/>
      <w:b/>
    </w:rPr>
  </w:style>
  <w:style w:type="character" w:styleId="ListLabel196">
    <w:name w:val="ListLabel 196"/>
    <w:qFormat/>
    <w:rPr>
      <w:rFonts w:cs="Courier New"/>
    </w:rPr>
  </w:style>
  <w:style w:type="character" w:styleId="ListLabel197">
    <w:name w:val="ListLabel 197"/>
    <w:qFormat/>
    <w:rPr>
      <w:rFonts w:cs="Wingdings"/>
    </w:rPr>
  </w:style>
  <w:style w:type="character" w:styleId="ListLabel198">
    <w:name w:val="ListLabel 198"/>
    <w:qFormat/>
    <w:rPr>
      <w:rFonts w:cs="Symbol"/>
    </w:rPr>
  </w:style>
  <w:style w:type="character" w:styleId="ListLabel199">
    <w:name w:val="ListLabel 199"/>
    <w:qFormat/>
    <w:rPr>
      <w:rFonts w:cs="Courier New"/>
    </w:rPr>
  </w:style>
  <w:style w:type="character" w:styleId="ListLabel200">
    <w:name w:val="ListLabel 200"/>
    <w:qFormat/>
    <w:rPr>
      <w:rFonts w:cs="Wingdings"/>
    </w:rPr>
  </w:style>
  <w:style w:type="character" w:styleId="ListLabel201">
    <w:name w:val="ListLabel 201"/>
    <w:qFormat/>
    <w:rPr>
      <w:rFonts w:ascii="Century Gothic" w:hAnsi="Century Gothic" w:cs="Times New Roman"/>
      <w:b/>
    </w:rPr>
  </w:style>
  <w:style w:type="character" w:styleId="ListLabel202">
    <w:name w:val="ListLabel 202"/>
    <w:qFormat/>
    <w:rPr>
      <w:rFonts w:cs="Courier New"/>
    </w:rPr>
  </w:style>
  <w:style w:type="character" w:styleId="ListLabel203">
    <w:name w:val="ListLabel 203"/>
    <w:qFormat/>
    <w:rPr>
      <w:rFonts w:cs="Wingdings"/>
    </w:rPr>
  </w:style>
  <w:style w:type="character" w:styleId="ListLabel204">
    <w:name w:val="ListLabel 204"/>
    <w:qFormat/>
    <w:rPr>
      <w:rFonts w:cs="Symbol"/>
    </w:rPr>
  </w:style>
  <w:style w:type="character" w:styleId="ListLabel205">
    <w:name w:val="ListLabel 205"/>
    <w:qFormat/>
    <w:rPr>
      <w:rFonts w:cs="Courier New"/>
    </w:rPr>
  </w:style>
  <w:style w:type="character" w:styleId="ListLabel206">
    <w:name w:val="ListLabel 206"/>
    <w:qFormat/>
    <w:rPr>
      <w:rFonts w:cs="Wingdings"/>
    </w:rPr>
  </w:style>
  <w:style w:type="character" w:styleId="ListLabel207">
    <w:name w:val="ListLabel 207"/>
    <w:qFormat/>
    <w:rPr>
      <w:rFonts w:cs="Symbol"/>
    </w:rPr>
  </w:style>
  <w:style w:type="character" w:styleId="ListLabel208">
    <w:name w:val="ListLabel 208"/>
    <w:qFormat/>
    <w:rPr>
      <w:rFonts w:cs="Courier New"/>
    </w:rPr>
  </w:style>
  <w:style w:type="character" w:styleId="ListLabel209">
    <w:name w:val="ListLabel 209"/>
    <w:qFormat/>
    <w:rPr>
      <w:rFonts w:cs="Wingdings"/>
    </w:rPr>
  </w:style>
  <w:style w:type="character" w:styleId="ListLabel210">
    <w:name w:val="ListLabel 210"/>
    <w:qFormat/>
    <w:rPr>
      <w:b/>
      <w:i w:val="false"/>
    </w:rPr>
  </w:style>
  <w:style w:type="character" w:styleId="ListLabel211">
    <w:name w:val="ListLabel 211"/>
    <w:qFormat/>
    <w:rPr>
      <w:strike w:val="false"/>
      <w:dstrike w:val="false"/>
      <w:color w:val="00000A"/>
      <w:sz w:val="22"/>
    </w:rPr>
  </w:style>
  <w:style w:type="character" w:styleId="ListLabel212">
    <w:name w:val="ListLabel 212"/>
    <w:qFormat/>
    <w:rPr>
      <w:rFonts w:ascii="Century Gothic" w:hAnsi="Century Gothic"/>
      <w:color w:val="000000"/>
    </w:rPr>
  </w:style>
  <w:style w:type="character" w:styleId="ListLabel213">
    <w:name w:val="ListLabel 213"/>
    <w:qFormat/>
    <w:rPr>
      <w:rFonts w:cs="Symbol"/>
    </w:rPr>
  </w:style>
  <w:style w:type="character" w:styleId="ListLabel214">
    <w:name w:val="ListLabel 214"/>
    <w:qFormat/>
    <w:rPr>
      <w:rFonts w:cs="Courier New"/>
    </w:rPr>
  </w:style>
  <w:style w:type="character" w:styleId="ListLabel215">
    <w:name w:val="ListLabel 215"/>
    <w:qFormat/>
    <w:rPr>
      <w:rFonts w:cs="Wingdings"/>
    </w:rPr>
  </w:style>
  <w:style w:type="character" w:styleId="ListLabel216">
    <w:name w:val="ListLabel 216"/>
    <w:qFormat/>
    <w:rPr>
      <w:rFonts w:ascii="Century Gothic" w:hAnsi="Century Gothic" w:cs="Times New Roman"/>
      <w:b/>
    </w:rPr>
  </w:style>
  <w:style w:type="character" w:styleId="ListLabel217">
    <w:name w:val="ListLabel 217"/>
    <w:qFormat/>
    <w:rPr>
      <w:rFonts w:cs="Courier New"/>
    </w:rPr>
  </w:style>
  <w:style w:type="character" w:styleId="ListLabel218">
    <w:name w:val="ListLabel 218"/>
    <w:qFormat/>
    <w:rPr>
      <w:rFonts w:cs="Wingdings"/>
    </w:rPr>
  </w:style>
  <w:style w:type="character" w:styleId="ListLabel219">
    <w:name w:val="ListLabel 219"/>
    <w:qFormat/>
    <w:rPr>
      <w:rFonts w:cs="Symbol"/>
    </w:rPr>
  </w:style>
  <w:style w:type="character" w:styleId="ListLabel220">
    <w:name w:val="ListLabel 220"/>
    <w:qFormat/>
    <w:rPr>
      <w:rFonts w:cs="Courier New"/>
    </w:rPr>
  </w:style>
  <w:style w:type="character" w:styleId="ListLabel221">
    <w:name w:val="ListLabel 221"/>
    <w:qFormat/>
    <w:rPr>
      <w:rFonts w:cs="Wingdings"/>
    </w:rPr>
  </w:style>
  <w:style w:type="character" w:styleId="ListLabel222">
    <w:name w:val="ListLabel 222"/>
    <w:qFormat/>
    <w:rPr>
      <w:rFonts w:ascii="Century Gothic" w:hAnsi="Century Gothic" w:cs="Symbol"/>
      <w:sz w:val="24"/>
    </w:rPr>
  </w:style>
  <w:style w:type="character" w:styleId="ListLabel223">
    <w:name w:val="ListLabel 223"/>
    <w:qFormat/>
    <w:rPr>
      <w:rFonts w:cs="Courier New"/>
    </w:rPr>
  </w:style>
  <w:style w:type="character" w:styleId="ListLabel224">
    <w:name w:val="ListLabel 224"/>
    <w:qFormat/>
    <w:rPr>
      <w:rFonts w:cs="Wingdings"/>
    </w:rPr>
  </w:style>
  <w:style w:type="character" w:styleId="ListLabel225">
    <w:name w:val="ListLabel 225"/>
    <w:qFormat/>
    <w:rPr>
      <w:rFonts w:cs="Symbol"/>
    </w:rPr>
  </w:style>
  <w:style w:type="character" w:styleId="ListLabel226">
    <w:name w:val="ListLabel 226"/>
    <w:qFormat/>
    <w:rPr>
      <w:rFonts w:cs="Courier New"/>
    </w:rPr>
  </w:style>
  <w:style w:type="character" w:styleId="ListLabel227">
    <w:name w:val="ListLabel 227"/>
    <w:qFormat/>
    <w:rPr>
      <w:rFonts w:cs="Wingdings"/>
    </w:rPr>
  </w:style>
  <w:style w:type="character" w:styleId="ListLabel228">
    <w:name w:val="ListLabel 228"/>
    <w:qFormat/>
    <w:rPr>
      <w:rFonts w:cs="Symbol"/>
    </w:rPr>
  </w:style>
  <w:style w:type="character" w:styleId="ListLabel229">
    <w:name w:val="ListLabel 229"/>
    <w:qFormat/>
    <w:rPr>
      <w:rFonts w:cs="Courier New"/>
    </w:rPr>
  </w:style>
  <w:style w:type="character" w:styleId="ListLabel230">
    <w:name w:val="ListLabel 230"/>
    <w:qFormat/>
    <w:rPr>
      <w:rFonts w:cs="Wingdings"/>
    </w:rPr>
  </w:style>
  <w:style w:type="character" w:styleId="Caratteridinumerazione">
    <w:name w:val="Caratteri di numerazione"/>
    <w:qFormat/>
    <w:rPr/>
  </w:style>
  <w:style w:type="character" w:styleId="ListLabel231">
    <w:name w:val="ListLabel 231"/>
    <w:qFormat/>
    <w:rPr>
      <w:rFonts w:cs="Symbol"/>
    </w:rPr>
  </w:style>
  <w:style w:type="character" w:styleId="ListLabel232">
    <w:name w:val="ListLabel 232"/>
    <w:qFormat/>
    <w:rPr>
      <w:rFonts w:cs="Courier New"/>
    </w:rPr>
  </w:style>
  <w:style w:type="character" w:styleId="ListLabel233">
    <w:name w:val="ListLabel 233"/>
    <w:qFormat/>
    <w:rPr>
      <w:rFonts w:cs="Wingdings"/>
    </w:rPr>
  </w:style>
  <w:style w:type="character" w:styleId="ListLabel234">
    <w:name w:val="ListLabel 234"/>
    <w:qFormat/>
    <w:rPr>
      <w:rFonts w:ascii="Century Gothic" w:hAnsi="Century Gothic" w:cs="Symbol"/>
      <w:b/>
    </w:rPr>
  </w:style>
  <w:style w:type="character" w:styleId="ListLabel235">
    <w:name w:val="ListLabel 235"/>
    <w:qFormat/>
    <w:rPr>
      <w:rFonts w:cs="Courier New"/>
    </w:rPr>
  </w:style>
  <w:style w:type="character" w:styleId="ListLabel236">
    <w:name w:val="ListLabel 236"/>
    <w:qFormat/>
    <w:rPr>
      <w:rFonts w:cs="Wingdings"/>
    </w:rPr>
  </w:style>
  <w:style w:type="character" w:styleId="ListLabel237">
    <w:name w:val="ListLabel 237"/>
    <w:qFormat/>
    <w:rPr>
      <w:rFonts w:cs="Symbol"/>
    </w:rPr>
  </w:style>
  <w:style w:type="character" w:styleId="ListLabel238">
    <w:name w:val="ListLabel 238"/>
    <w:qFormat/>
    <w:rPr>
      <w:rFonts w:cs="Courier New"/>
    </w:rPr>
  </w:style>
  <w:style w:type="character" w:styleId="ListLabel239">
    <w:name w:val="ListLabel 239"/>
    <w:qFormat/>
    <w:rPr>
      <w:rFonts w:cs="Wingdings"/>
    </w:rPr>
  </w:style>
  <w:style w:type="character" w:styleId="ListLabel240">
    <w:name w:val="ListLabel 240"/>
    <w:qFormat/>
    <w:rPr>
      <w:rFonts w:ascii="Century Gothic" w:hAnsi="Century Gothic" w:cs="Times New Roman"/>
      <w:b/>
    </w:rPr>
  </w:style>
  <w:style w:type="character" w:styleId="ListLabel241">
    <w:name w:val="ListLabel 241"/>
    <w:qFormat/>
    <w:rPr>
      <w:rFonts w:cs="Courier New"/>
    </w:rPr>
  </w:style>
  <w:style w:type="character" w:styleId="ListLabel242">
    <w:name w:val="ListLabel 242"/>
    <w:qFormat/>
    <w:rPr>
      <w:rFonts w:cs="Wingdings"/>
    </w:rPr>
  </w:style>
  <w:style w:type="character" w:styleId="ListLabel243">
    <w:name w:val="ListLabel 243"/>
    <w:qFormat/>
    <w:rPr>
      <w:rFonts w:cs="Symbol"/>
    </w:rPr>
  </w:style>
  <w:style w:type="character" w:styleId="ListLabel244">
    <w:name w:val="ListLabel 244"/>
    <w:qFormat/>
    <w:rPr>
      <w:rFonts w:cs="Courier New"/>
    </w:rPr>
  </w:style>
  <w:style w:type="character" w:styleId="ListLabel245">
    <w:name w:val="ListLabel 245"/>
    <w:qFormat/>
    <w:rPr>
      <w:rFonts w:cs="Wingdings"/>
    </w:rPr>
  </w:style>
  <w:style w:type="character" w:styleId="ListLabel246">
    <w:name w:val="ListLabel 246"/>
    <w:qFormat/>
    <w:rPr>
      <w:rFonts w:cs="Symbol"/>
    </w:rPr>
  </w:style>
  <w:style w:type="character" w:styleId="ListLabel247">
    <w:name w:val="ListLabel 247"/>
    <w:qFormat/>
    <w:rPr>
      <w:rFonts w:cs="Courier New"/>
    </w:rPr>
  </w:style>
  <w:style w:type="character" w:styleId="ListLabel248">
    <w:name w:val="ListLabel 248"/>
    <w:qFormat/>
    <w:rPr>
      <w:rFonts w:cs="Wingdings"/>
    </w:rPr>
  </w:style>
  <w:style w:type="character" w:styleId="ListLabel249">
    <w:name w:val="ListLabel 249"/>
    <w:qFormat/>
    <w:rPr>
      <w:b/>
      <w:i w:val="false"/>
    </w:rPr>
  </w:style>
  <w:style w:type="character" w:styleId="ListLabel250">
    <w:name w:val="ListLabel 250"/>
    <w:qFormat/>
    <w:rPr>
      <w:strike w:val="false"/>
      <w:dstrike w:val="false"/>
      <w:color w:val="00000A"/>
      <w:sz w:val="22"/>
    </w:rPr>
  </w:style>
  <w:style w:type="character" w:styleId="ListLabel251">
    <w:name w:val="ListLabel 251"/>
    <w:qFormat/>
    <w:rPr>
      <w:rFonts w:ascii="Century Gothic" w:hAnsi="Century Gothic"/>
      <w:color w:val="000000"/>
    </w:rPr>
  </w:style>
  <w:style w:type="character" w:styleId="ListLabel252">
    <w:name w:val="ListLabel 252"/>
    <w:qFormat/>
    <w:rPr>
      <w:rFonts w:cs="Symbol"/>
    </w:rPr>
  </w:style>
  <w:style w:type="character" w:styleId="ListLabel253">
    <w:name w:val="ListLabel 253"/>
    <w:qFormat/>
    <w:rPr>
      <w:rFonts w:cs="Courier New"/>
    </w:rPr>
  </w:style>
  <w:style w:type="character" w:styleId="ListLabel254">
    <w:name w:val="ListLabel 254"/>
    <w:qFormat/>
    <w:rPr>
      <w:rFonts w:cs="Wingdings"/>
    </w:rPr>
  </w:style>
  <w:style w:type="character" w:styleId="ListLabel255">
    <w:name w:val="ListLabel 255"/>
    <w:qFormat/>
    <w:rPr>
      <w:rFonts w:ascii="Century Gothic" w:hAnsi="Century Gothic" w:cs="Times New Roman"/>
      <w:b/>
    </w:rPr>
  </w:style>
  <w:style w:type="character" w:styleId="ListLabel256">
    <w:name w:val="ListLabel 256"/>
    <w:qFormat/>
    <w:rPr>
      <w:rFonts w:cs="Courier New"/>
    </w:rPr>
  </w:style>
  <w:style w:type="character" w:styleId="ListLabel257">
    <w:name w:val="ListLabel 257"/>
    <w:qFormat/>
    <w:rPr>
      <w:rFonts w:cs="Wingdings"/>
    </w:rPr>
  </w:style>
  <w:style w:type="character" w:styleId="ListLabel258">
    <w:name w:val="ListLabel 258"/>
    <w:qFormat/>
    <w:rPr>
      <w:rFonts w:cs="Symbol"/>
    </w:rPr>
  </w:style>
  <w:style w:type="character" w:styleId="ListLabel259">
    <w:name w:val="ListLabel 259"/>
    <w:qFormat/>
    <w:rPr>
      <w:rFonts w:cs="Courier New"/>
    </w:rPr>
  </w:style>
  <w:style w:type="character" w:styleId="ListLabel260">
    <w:name w:val="ListLabel 260"/>
    <w:qFormat/>
    <w:rPr>
      <w:rFonts w:cs="Wingdings"/>
    </w:rPr>
  </w:style>
  <w:style w:type="character" w:styleId="ListLabel261">
    <w:name w:val="ListLabel 261"/>
    <w:qFormat/>
    <w:rPr>
      <w:rFonts w:ascii="Century Gothic" w:hAnsi="Century Gothic" w:cs="Symbol"/>
      <w:sz w:val="24"/>
    </w:rPr>
  </w:style>
  <w:style w:type="character" w:styleId="ListLabel262">
    <w:name w:val="ListLabel 262"/>
    <w:qFormat/>
    <w:rPr>
      <w:rFonts w:cs="Courier New"/>
    </w:rPr>
  </w:style>
  <w:style w:type="character" w:styleId="ListLabel263">
    <w:name w:val="ListLabel 263"/>
    <w:qFormat/>
    <w:rPr>
      <w:rFonts w:cs="Wingdings"/>
    </w:rPr>
  </w:style>
  <w:style w:type="character" w:styleId="ListLabel264">
    <w:name w:val="ListLabel 264"/>
    <w:qFormat/>
    <w:rPr>
      <w:rFonts w:cs="Symbol"/>
    </w:rPr>
  </w:style>
  <w:style w:type="character" w:styleId="ListLabel265">
    <w:name w:val="ListLabel 265"/>
    <w:qFormat/>
    <w:rPr>
      <w:rFonts w:cs="Courier New"/>
    </w:rPr>
  </w:style>
  <w:style w:type="character" w:styleId="ListLabel266">
    <w:name w:val="ListLabel 266"/>
    <w:qFormat/>
    <w:rPr>
      <w:rFonts w:cs="Wingdings"/>
    </w:rPr>
  </w:style>
  <w:style w:type="character" w:styleId="ListLabel267">
    <w:name w:val="ListLabel 267"/>
    <w:qFormat/>
    <w:rPr>
      <w:rFonts w:cs="Symbol"/>
    </w:rPr>
  </w:style>
  <w:style w:type="character" w:styleId="ListLabel268">
    <w:name w:val="ListLabel 268"/>
    <w:qFormat/>
    <w:rPr>
      <w:rFonts w:cs="Courier New"/>
    </w:rPr>
  </w:style>
  <w:style w:type="character" w:styleId="ListLabel269">
    <w:name w:val="ListLabel 269"/>
    <w:qFormat/>
    <w:rPr>
      <w:rFonts w:cs="Wingdings"/>
    </w:rPr>
  </w:style>
  <w:style w:type="character" w:styleId="ListLabel270">
    <w:name w:val="ListLabel 270"/>
    <w:qFormat/>
    <w:rPr>
      <w:rFonts w:cs="Symbol"/>
    </w:rPr>
  </w:style>
  <w:style w:type="character" w:styleId="ListLabel271">
    <w:name w:val="ListLabel 271"/>
    <w:qFormat/>
    <w:rPr>
      <w:rFonts w:cs="Courier New"/>
    </w:rPr>
  </w:style>
  <w:style w:type="character" w:styleId="ListLabel272">
    <w:name w:val="ListLabel 272"/>
    <w:qFormat/>
    <w:rPr>
      <w:rFonts w:cs="Wingdings"/>
    </w:rPr>
  </w:style>
  <w:style w:type="character" w:styleId="ListLabel273">
    <w:name w:val="ListLabel 273"/>
    <w:qFormat/>
    <w:rPr>
      <w:rFonts w:ascii="Century Gothic" w:hAnsi="Century Gothic" w:cs="Symbol"/>
      <w:b/>
    </w:rPr>
  </w:style>
  <w:style w:type="character" w:styleId="ListLabel274">
    <w:name w:val="ListLabel 274"/>
    <w:qFormat/>
    <w:rPr>
      <w:rFonts w:cs="Courier New"/>
    </w:rPr>
  </w:style>
  <w:style w:type="character" w:styleId="ListLabel275">
    <w:name w:val="ListLabel 275"/>
    <w:qFormat/>
    <w:rPr>
      <w:rFonts w:cs="Wingdings"/>
    </w:rPr>
  </w:style>
  <w:style w:type="character" w:styleId="ListLabel276">
    <w:name w:val="ListLabel 276"/>
    <w:qFormat/>
    <w:rPr>
      <w:rFonts w:cs="Symbol"/>
    </w:rPr>
  </w:style>
  <w:style w:type="character" w:styleId="ListLabel277">
    <w:name w:val="ListLabel 277"/>
    <w:qFormat/>
    <w:rPr>
      <w:rFonts w:cs="Courier New"/>
    </w:rPr>
  </w:style>
  <w:style w:type="character" w:styleId="ListLabel278">
    <w:name w:val="ListLabel 278"/>
    <w:qFormat/>
    <w:rPr>
      <w:rFonts w:cs="Wingdings"/>
    </w:rPr>
  </w:style>
  <w:style w:type="character" w:styleId="ListLabel279">
    <w:name w:val="ListLabel 279"/>
    <w:qFormat/>
    <w:rPr>
      <w:rFonts w:ascii="Century Gothic" w:hAnsi="Century Gothic" w:cs="Times New Roman"/>
      <w:b/>
    </w:rPr>
  </w:style>
  <w:style w:type="character" w:styleId="ListLabel280">
    <w:name w:val="ListLabel 280"/>
    <w:qFormat/>
    <w:rPr>
      <w:rFonts w:cs="Courier New"/>
    </w:rPr>
  </w:style>
  <w:style w:type="character" w:styleId="ListLabel281">
    <w:name w:val="ListLabel 281"/>
    <w:qFormat/>
    <w:rPr>
      <w:rFonts w:cs="Wingdings"/>
    </w:rPr>
  </w:style>
  <w:style w:type="character" w:styleId="ListLabel282">
    <w:name w:val="ListLabel 282"/>
    <w:qFormat/>
    <w:rPr>
      <w:rFonts w:cs="Symbol"/>
    </w:rPr>
  </w:style>
  <w:style w:type="character" w:styleId="ListLabel283">
    <w:name w:val="ListLabel 283"/>
    <w:qFormat/>
    <w:rPr>
      <w:rFonts w:cs="Courier New"/>
    </w:rPr>
  </w:style>
  <w:style w:type="character" w:styleId="ListLabel284">
    <w:name w:val="ListLabel 284"/>
    <w:qFormat/>
    <w:rPr>
      <w:rFonts w:cs="Wingdings"/>
    </w:rPr>
  </w:style>
  <w:style w:type="character" w:styleId="ListLabel285">
    <w:name w:val="ListLabel 285"/>
    <w:qFormat/>
    <w:rPr>
      <w:rFonts w:cs="Symbol"/>
    </w:rPr>
  </w:style>
  <w:style w:type="character" w:styleId="ListLabel286">
    <w:name w:val="ListLabel 286"/>
    <w:qFormat/>
    <w:rPr>
      <w:rFonts w:cs="Courier New"/>
    </w:rPr>
  </w:style>
  <w:style w:type="character" w:styleId="ListLabel287">
    <w:name w:val="ListLabel 287"/>
    <w:qFormat/>
    <w:rPr>
      <w:rFonts w:cs="Wingdings"/>
    </w:rPr>
  </w:style>
  <w:style w:type="character" w:styleId="ListLabel288">
    <w:name w:val="ListLabel 288"/>
    <w:qFormat/>
    <w:rPr>
      <w:b/>
      <w:i w:val="false"/>
    </w:rPr>
  </w:style>
  <w:style w:type="character" w:styleId="ListLabel289">
    <w:name w:val="ListLabel 289"/>
    <w:qFormat/>
    <w:rPr>
      <w:strike w:val="false"/>
      <w:dstrike w:val="false"/>
      <w:color w:val="00000A"/>
      <w:sz w:val="22"/>
    </w:rPr>
  </w:style>
  <w:style w:type="character" w:styleId="ListLabel290">
    <w:name w:val="ListLabel 290"/>
    <w:qFormat/>
    <w:rPr>
      <w:rFonts w:ascii="Century Gothic" w:hAnsi="Century Gothic"/>
      <w:color w:val="000000"/>
    </w:rPr>
  </w:style>
  <w:style w:type="character" w:styleId="ListLabel291">
    <w:name w:val="ListLabel 291"/>
    <w:qFormat/>
    <w:rPr>
      <w:rFonts w:cs="Symbol"/>
    </w:rPr>
  </w:style>
  <w:style w:type="character" w:styleId="ListLabel292">
    <w:name w:val="ListLabel 292"/>
    <w:qFormat/>
    <w:rPr>
      <w:rFonts w:cs="Courier New"/>
    </w:rPr>
  </w:style>
  <w:style w:type="character" w:styleId="ListLabel293">
    <w:name w:val="ListLabel 293"/>
    <w:qFormat/>
    <w:rPr>
      <w:rFonts w:cs="Wingdings"/>
    </w:rPr>
  </w:style>
  <w:style w:type="character" w:styleId="ListLabel294">
    <w:name w:val="ListLabel 294"/>
    <w:qFormat/>
    <w:rPr>
      <w:rFonts w:ascii="Century Gothic" w:hAnsi="Century Gothic" w:cs="Times New Roman"/>
      <w:b/>
    </w:rPr>
  </w:style>
  <w:style w:type="character" w:styleId="ListLabel295">
    <w:name w:val="ListLabel 295"/>
    <w:qFormat/>
    <w:rPr>
      <w:rFonts w:cs="Courier New"/>
    </w:rPr>
  </w:style>
  <w:style w:type="character" w:styleId="ListLabel296">
    <w:name w:val="ListLabel 296"/>
    <w:qFormat/>
    <w:rPr>
      <w:rFonts w:cs="Wingdings"/>
    </w:rPr>
  </w:style>
  <w:style w:type="character" w:styleId="ListLabel297">
    <w:name w:val="ListLabel 297"/>
    <w:qFormat/>
    <w:rPr>
      <w:rFonts w:cs="Symbol"/>
    </w:rPr>
  </w:style>
  <w:style w:type="character" w:styleId="ListLabel298">
    <w:name w:val="ListLabel 298"/>
    <w:qFormat/>
    <w:rPr>
      <w:rFonts w:cs="Courier New"/>
    </w:rPr>
  </w:style>
  <w:style w:type="character" w:styleId="ListLabel299">
    <w:name w:val="ListLabel 299"/>
    <w:qFormat/>
    <w:rPr>
      <w:rFonts w:cs="Wingdings"/>
    </w:rPr>
  </w:style>
  <w:style w:type="character" w:styleId="ListLabel300">
    <w:name w:val="ListLabel 300"/>
    <w:qFormat/>
    <w:rPr>
      <w:rFonts w:ascii="Century Gothic" w:hAnsi="Century Gothic" w:cs="Symbol"/>
      <w:sz w:val="24"/>
    </w:rPr>
  </w:style>
  <w:style w:type="character" w:styleId="ListLabel301">
    <w:name w:val="ListLabel 301"/>
    <w:qFormat/>
    <w:rPr>
      <w:rFonts w:cs="Courier New"/>
    </w:rPr>
  </w:style>
  <w:style w:type="character" w:styleId="ListLabel302">
    <w:name w:val="ListLabel 302"/>
    <w:qFormat/>
    <w:rPr>
      <w:rFonts w:cs="Wingdings"/>
    </w:rPr>
  </w:style>
  <w:style w:type="character" w:styleId="ListLabel303">
    <w:name w:val="ListLabel 303"/>
    <w:qFormat/>
    <w:rPr>
      <w:rFonts w:cs="Symbol"/>
    </w:rPr>
  </w:style>
  <w:style w:type="character" w:styleId="ListLabel304">
    <w:name w:val="ListLabel 304"/>
    <w:qFormat/>
    <w:rPr>
      <w:rFonts w:cs="Courier New"/>
    </w:rPr>
  </w:style>
  <w:style w:type="character" w:styleId="ListLabel305">
    <w:name w:val="ListLabel 305"/>
    <w:qFormat/>
    <w:rPr>
      <w:rFonts w:cs="Wingdings"/>
    </w:rPr>
  </w:style>
  <w:style w:type="character" w:styleId="ListLabel306">
    <w:name w:val="ListLabel 306"/>
    <w:qFormat/>
    <w:rPr>
      <w:rFonts w:cs="Symbol"/>
    </w:rPr>
  </w:style>
  <w:style w:type="character" w:styleId="ListLabel307">
    <w:name w:val="ListLabel 307"/>
    <w:qFormat/>
    <w:rPr>
      <w:rFonts w:cs="Courier New"/>
    </w:rPr>
  </w:style>
  <w:style w:type="character" w:styleId="ListLabel308">
    <w:name w:val="ListLabel 308"/>
    <w:qFormat/>
    <w:rPr>
      <w:rFonts w:cs="Wingdings"/>
    </w:rPr>
  </w:style>
  <w:style w:type="character" w:styleId="ListLabel309">
    <w:name w:val="ListLabel 309"/>
    <w:rPr>
      <w:rFonts w:cs="Symbol"/>
    </w:rPr>
  </w:style>
  <w:style w:type="character" w:styleId="ListLabel310">
    <w:name w:val="ListLabel 310"/>
    <w:rPr>
      <w:rFonts w:cs="Courier New"/>
    </w:rPr>
  </w:style>
  <w:style w:type="character" w:styleId="ListLabel311">
    <w:name w:val="ListLabel 311"/>
    <w:rPr>
      <w:rFonts w:cs="Wingdings"/>
    </w:rPr>
  </w:style>
  <w:style w:type="character" w:styleId="ListLabel312">
    <w:name w:val="ListLabel 312"/>
    <w:rPr>
      <w:rFonts w:cs="Symbol"/>
      <w:b/>
    </w:rPr>
  </w:style>
  <w:style w:type="character" w:styleId="ListLabel313">
    <w:name w:val="ListLabel 313"/>
    <w:rPr>
      <w:rFonts w:cs="Times New Roman"/>
      <w:b/>
    </w:rPr>
  </w:style>
  <w:style w:type="character" w:styleId="ListLabel314">
    <w:name w:val="ListLabel 314"/>
    <w:rPr>
      <w:b/>
      <w:i w:val="false"/>
    </w:rPr>
  </w:style>
  <w:style w:type="character" w:styleId="ListLabel315">
    <w:name w:val="ListLabel 315"/>
    <w:rPr>
      <w:strike w:val="false"/>
      <w:dstrike w:val="false"/>
      <w:color w:val="00000A"/>
      <w:sz w:val="22"/>
    </w:rPr>
  </w:style>
  <w:style w:type="character" w:styleId="ListLabel316">
    <w:name w:val="ListLabel 316"/>
    <w:rPr>
      <w:color w:val="000000"/>
    </w:rPr>
  </w:style>
  <w:style w:type="character" w:styleId="ListLabel317">
    <w:name w:val="ListLabel 317"/>
    <w:rPr>
      <w:rFonts w:cs="Symbol"/>
      <w:sz w:val="24"/>
    </w:rPr>
  </w:style>
  <w:style w:type="paragraph" w:styleId="Titolo">
    <w:name w:val="Titolo"/>
    <w:qFormat/>
    <w:basedOn w:val="Normal"/>
    <w:next w:val="Corpodeltesto"/>
    <w:pPr>
      <w:keepNext/>
      <w:spacing w:before="240" w:after="120"/>
    </w:pPr>
    <w:rPr>
      <w:rFonts w:ascii="Liberation Sans" w:hAnsi="Liberation Sans" w:eastAsia="Microsoft YaHei" w:cs="Arial"/>
      <w:sz w:val="28"/>
      <w:szCs w:val="28"/>
    </w:rPr>
  </w:style>
  <w:style w:type="paragraph" w:styleId="Corpodeltesto">
    <w:name w:val="Corpo del testo"/>
    <w:rsid w:val="005a5dab"/>
    <w:basedOn w:val="Normal"/>
    <w:pPr>
      <w:spacing w:lineRule="auto" w:line="276" w:before="0" w:after="140"/>
    </w:pPr>
    <w:rPr/>
  </w:style>
  <w:style w:type="paragraph" w:styleId="Elenco">
    <w:name w:val="Elenco"/>
    <w:rsid w:val="005a5dab"/>
    <w:basedOn w:val="Corpodeltesto"/>
    <w:pPr/>
    <w:rPr>
      <w:rFonts w:cs="Arial"/>
    </w:rPr>
  </w:style>
  <w:style w:type="paragraph" w:styleId="Didascalia">
    <w:name w:val="Didascalia"/>
    <w:qFormat/>
    <w:basedOn w:val="Normal"/>
    <w:pPr>
      <w:suppressLineNumbers/>
      <w:spacing w:before="120" w:after="120"/>
    </w:pPr>
    <w:rPr>
      <w:rFonts w:cs="Arial"/>
      <w:i/>
      <w:iCs/>
      <w:sz w:val="24"/>
      <w:szCs w:val="24"/>
    </w:rPr>
  </w:style>
  <w:style w:type="paragraph" w:styleId="Indice" w:customStyle="1">
    <w:name w:val="Indice"/>
    <w:qFormat/>
    <w:rsid w:val="005a5dab"/>
    <w:basedOn w:val="Normal"/>
    <w:pPr>
      <w:suppressLineNumbers/>
    </w:pPr>
    <w:rPr>
      <w:rFonts w:cs="Arial"/>
    </w:rPr>
  </w:style>
  <w:style w:type="paragraph" w:styleId="Titolo11" w:customStyle="1">
    <w:name w:val="Titolo 11"/>
    <w:qFormat/>
    <w:link w:val="Titolo1Carattere"/>
    <w:rsid w:val="00106177"/>
    <w:basedOn w:val="Normal"/>
    <w:next w:val="Normal"/>
    <w:pPr>
      <w:keepNext/>
      <w:spacing w:lineRule="auto" w:line="240" w:before="0" w:after="0"/>
      <w:jc w:val="center"/>
      <w:outlineLvl w:val="0"/>
    </w:pPr>
    <w:rPr>
      <w:rFonts w:ascii="Arial" w:hAnsi="Arial" w:eastAsia="Times New Roman" w:cs="Arial"/>
      <w:sz w:val="24"/>
      <w:szCs w:val="24"/>
      <w:lang w:eastAsia="it-IT"/>
    </w:rPr>
  </w:style>
  <w:style w:type="paragraph" w:styleId="Titolo21" w:customStyle="1">
    <w:name w:val="Titolo 21"/>
    <w:qFormat/>
    <w:link w:val="Titolo2Carattere"/>
    <w:rsid w:val="00106177"/>
    <w:basedOn w:val="Normal"/>
    <w:next w:val="Normal"/>
    <w:pPr>
      <w:keepNext/>
      <w:spacing w:lineRule="auto" w:line="240" w:before="0" w:after="0"/>
      <w:outlineLvl w:val="1"/>
    </w:pPr>
    <w:rPr>
      <w:rFonts w:ascii="Arial" w:hAnsi="Arial" w:eastAsia="Times New Roman" w:cs="Arial"/>
      <w:b/>
      <w:bCs/>
      <w:sz w:val="24"/>
      <w:lang w:eastAsia="it-IT"/>
    </w:rPr>
  </w:style>
  <w:style w:type="paragraph" w:styleId="Titoloprincipale">
    <w:name w:val="Titolo principale"/>
    <w:qFormat/>
    <w:rsid w:val="005a5dab"/>
    <w:basedOn w:val="Normal"/>
    <w:pPr>
      <w:keepNext/>
      <w:spacing w:before="240" w:after="120"/>
      <w:jc w:val="left"/>
    </w:pPr>
    <w:rPr>
      <w:rFonts w:ascii="Liberation Sans" w:hAnsi="Liberation Sans" w:eastAsia="Microsoft YaHei" w:cs="Arial"/>
      <w:sz w:val="28"/>
      <w:szCs w:val="28"/>
    </w:rPr>
  </w:style>
  <w:style w:type="paragraph" w:styleId="Didascalia1" w:customStyle="1">
    <w:name w:val="Didascalia1"/>
    <w:qFormat/>
    <w:rsid w:val="005a5dab"/>
    <w:basedOn w:val="Normal"/>
    <w:pPr>
      <w:suppressLineNumbers/>
      <w:spacing w:before="120" w:after="120"/>
    </w:pPr>
    <w:rPr>
      <w:rFonts w:cs="Arial"/>
      <w:i/>
      <w:iCs/>
      <w:sz w:val="24"/>
      <w:szCs w:val="24"/>
    </w:rPr>
  </w:style>
  <w:style w:type="paragraph" w:styleId="ListParagraph">
    <w:name w:val="List Paragraph"/>
    <w:uiPriority w:val="99"/>
    <w:qFormat/>
    <w:link w:val="ParagrafoelencoCarattere"/>
    <w:rsid w:val="008f5828"/>
    <w:basedOn w:val="Normal"/>
    <w:pPr>
      <w:spacing w:before="0" w:after="160"/>
      <w:ind w:left="720" w:right="0" w:hanging="0"/>
      <w:contextualSpacing/>
    </w:pPr>
    <w:rPr/>
  </w:style>
  <w:style w:type="paragraph" w:styleId="BodyText2">
    <w:name w:val="Body Text 2"/>
    <w:qFormat/>
    <w:semiHidden/>
    <w:link w:val="Corpodeltesto2Carattere"/>
    <w:rsid w:val="00106177"/>
    <w:basedOn w:val="Normal"/>
    <w:pPr>
      <w:spacing w:lineRule="auto" w:line="240" w:before="0" w:after="0"/>
      <w:jc w:val="both"/>
    </w:pPr>
    <w:rPr>
      <w:rFonts w:ascii="Arial" w:hAnsi="Arial" w:eastAsia="Times New Roman" w:cs="Arial"/>
      <w:iCs/>
      <w:sz w:val="24"/>
      <w:szCs w:val="28"/>
      <w:lang w:eastAsia="it-IT"/>
    </w:rPr>
  </w:style>
  <w:style w:type="paragraph" w:styleId="Intestazione1" w:customStyle="1">
    <w:name w:val="Intestazione1"/>
    <w:uiPriority w:val="99"/>
    <w:qFormat/>
    <w:unhideWhenUsed/>
    <w:link w:val="IntestazioneCarattere"/>
    <w:rsid w:val="00106177"/>
    <w:basedOn w:val="Normal"/>
    <w:pPr>
      <w:tabs>
        <w:tab w:val="center" w:pos="4819" w:leader="none"/>
        <w:tab w:val="right" w:pos="9638" w:leader="none"/>
      </w:tabs>
      <w:spacing w:lineRule="auto" w:line="240" w:before="0" w:after="0"/>
    </w:pPr>
    <w:rPr>
      <w:rFonts w:ascii="Times New Roman" w:hAnsi="Times New Roman" w:eastAsia="Times New Roman" w:cs="Times New Roman"/>
      <w:sz w:val="24"/>
      <w:szCs w:val="24"/>
      <w:lang w:eastAsia="it-IT"/>
    </w:rPr>
  </w:style>
  <w:style w:type="paragraph" w:styleId="Pidipagina1" w:customStyle="1">
    <w:name w:val="Piè di pagina1"/>
    <w:uiPriority w:val="99"/>
    <w:qFormat/>
    <w:unhideWhenUsed/>
    <w:link w:val="PidipaginaCarattere"/>
    <w:rsid w:val="00106177"/>
    <w:basedOn w:val="Normal"/>
    <w:pPr>
      <w:tabs>
        <w:tab w:val="center" w:pos="4819" w:leader="none"/>
        <w:tab w:val="right" w:pos="9638" w:leader="none"/>
      </w:tabs>
      <w:spacing w:lineRule="auto" w:line="240" w:before="0" w:after="0"/>
    </w:pPr>
    <w:rPr>
      <w:rFonts w:ascii="Times New Roman" w:hAnsi="Times New Roman" w:eastAsia="Times New Roman" w:cs="Times New Roman"/>
      <w:sz w:val="24"/>
      <w:szCs w:val="24"/>
      <w:lang w:eastAsia="it-IT"/>
    </w:rPr>
  </w:style>
  <w:style w:type="paragraph" w:styleId="Default" w:customStyle="1">
    <w:name w:val="Default"/>
    <w:qFormat/>
    <w:rsid w:val="00106177"/>
    <w:pPr>
      <w:widowControl/>
      <w:suppressAutoHyphens w:val="true"/>
      <w:bidi w:val="0"/>
      <w:jc w:val="left"/>
    </w:pPr>
    <w:rPr>
      <w:rFonts w:ascii="Arial" w:hAnsi="Arial" w:eastAsia="Calibri" w:cs="Arial"/>
      <w:color w:val="000000"/>
      <w:sz w:val="24"/>
      <w:szCs w:val="24"/>
      <w:lang w:val="it-IT" w:eastAsia="en-US" w:bidi="ar-SA"/>
    </w:rPr>
  </w:style>
  <w:style w:type="paragraph" w:styleId="BalloonText">
    <w:name w:val="Balloon Text"/>
    <w:uiPriority w:val="99"/>
    <w:qFormat/>
    <w:semiHidden/>
    <w:unhideWhenUsed/>
    <w:link w:val="TestofumettoCarattere"/>
    <w:rsid w:val="00106177"/>
    <w:basedOn w:val="Normal"/>
    <w:pPr>
      <w:spacing w:lineRule="auto" w:line="240" w:before="0" w:after="0"/>
    </w:pPr>
    <w:rPr>
      <w:rFonts w:ascii="Segoe UI" w:hAnsi="Segoe UI" w:eastAsia="Times New Roman" w:cs="Segoe UI"/>
      <w:sz w:val="18"/>
      <w:szCs w:val="18"/>
      <w:lang w:eastAsia="it-IT"/>
    </w:rPr>
  </w:style>
  <w:style w:type="paragraph" w:styleId="Annotationtext">
    <w:name w:val="annotation text"/>
    <w:uiPriority w:val="99"/>
    <w:qFormat/>
    <w:semiHidden/>
    <w:unhideWhenUsed/>
    <w:link w:val="TestocommentoCarattere"/>
    <w:rsid w:val="00661710"/>
    <w:basedOn w:val="Normal"/>
    <w:pPr>
      <w:spacing w:lineRule="auto" w:line="240"/>
    </w:pPr>
    <w:rPr>
      <w:sz w:val="20"/>
      <w:szCs w:val="20"/>
    </w:rPr>
  </w:style>
  <w:style w:type="paragraph" w:styleId="Annotationsubject">
    <w:name w:val="annotation subject"/>
    <w:uiPriority w:val="99"/>
    <w:qFormat/>
    <w:semiHidden/>
    <w:unhideWhenUsed/>
    <w:link w:val="SoggettocommentoCarattere"/>
    <w:rsid w:val="00661710"/>
    <w:basedOn w:val="Annotationtext"/>
    <w:pPr/>
    <w:rPr>
      <w:b/>
      <w:bCs/>
    </w:rPr>
  </w:style>
  <w:style w:type="paragraph" w:styleId="Caption">
    <w:name w:val="caption"/>
    <w:qFormat/>
    <w:rsid w:val="003e33a9"/>
    <w:basedOn w:val="Normal"/>
    <w:next w:val="Normal"/>
    <w:pPr>
      <w:overflowPunct w:val="true"/>
      <w:spacing w:lineRule="auto" w:line="240" w:before="0" w:after="120"/>
      <w:jc w:val="center"/>
    </w:pPr>
    <w:rPr>
      <w:rFonts w:ascii="English157 BT" w:hAnsi="English157 BT" w:eastAsia="Times New Roman" w:cs="Times New Roman"/>
      <w:i/>
      <w:sz w:val="78"/>
      <w:szCs w:val="20"/>
      <w:lang w:eastAsia="it-IT"/>
    </w:rPr>
  </w:style>
  <w:style w:type="paragraph" w:styleId="Intestazione">
    <w:name w:val="Intestazione"/>
    <w:basedOn w:val="Normal"/>
    <w:pPr/>
    <w:rPr/>
  </w:style>
  <w:style w:type="paragraph" w:styleId="Pidipagina">
    <w:name w:val="Piè di pagina"/>
    <w:basedOn w:val="Normal"/>
    <w:pPr/>
    <w:rPr/>
  </w:style>
  <w:style w:type="numbering" w:styleId="NoList" w:default="1">
    <w:name w:val="No List"/>
    <w:uiPriority w:val="99"/>
    <w:qFormat/>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 w:type="table" w:styleId="Grigliatabella">
    <w:name w:val="Table Grid"/>
    <w:basedOn w:val="Tabellanormale"/>
    <w:uiPriority w:val="39"/>
    <w:rsid w:val="00106177"/>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291BA-4BB4-42E8-B1AE-43CAA18A9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Application>LibreOffice/6.2.4.2$Windows_X86_64 LibreOffice_project/2412653d852ce75f65fbfa83fb7e7b669a126d64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2022-08-10T07:14:00Z</dcterms:created>
  <dc:creator>Manuela Mazzoleni</dc:creator>
  <dc:language>it-IT</dc:language>
  <dcterms:modified xsi:type="dcterms:W3CDTF">2022-08-23T10:25:23Z</dcterms:modified>
  <cp:revision>34</cp:revision>
</cp:coreProperties>
</file>